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C1" w:rsidRDefault="00E413C1" w:rsidP="00303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A80" w:rsidRPr="00447DF8" w:rsidRDefault="00415A80" w:rsidP="00415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A102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Агропарк</w:t>
      </w:r>
      <w:proofErr w:type="spellEnd"/>
      <w:r w:rsidRPr="002A102C">
        <w:rPr>
          <w:rFonts w:ascii="Times New Roman" w:hAnsi="Times New Roman" w:cs="Times New Roman"/>
          <w:b/>
          <w:sz w:val="28"/>
          <w:szCs w:val="28"/>
        </w:rPr>
        <w:t xml:space="preserve">» №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560F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К#Х#1.1</w:t>
      </w:r>
    </w:p>
    <w:p w:rsidR="001C1122" w:rsidRPr="004F0388" w:rsidRDefault="007E4F47" w:rsidP="007E4F47">
      <w:pPr>
        <w:tabs>
          <w:tab w:val="left" w:pos="13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891" w:type="dxa"/>
        <w:tblInd w:w="-34" w:type="dxa"/>
        <w:tblLook w:val="04A0" w:firstRow="1" w:lastRow="0" w:firstColumn="1" w:lastColumn="0" w:noHBand="0" w:noVBand="1"/>
      </w:tblPr>
      <w:tblGrid>
        <w:gridCol w:w="2133"/>
        <w:gridCol w:w="12758"/>
      </w:tblGrid>
      <w:tr w:rsidR="00D95C53" w:rsidRPr="004F0388" w:rsidTr="00603B25">
        <w:tc>
          <w:tcPr>
            <w:tcW w:w="2133" w:type="dxa"/>
          </w:tcPr>
          <w:p w:rsidR="00D95C53" w:rsidRPr="004F0388" w:rsidRDefault="00D95C53" w:rsidP="000B208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8" w:type="dxa"/>
          </w:tcPr>
          <w:p w:rsidR="00D95C53" w:rsidRPr="001766CB" w:rsidRDefault="00D95C53" w:rsidP="00FD16FB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F13CB" w:rsidRPr="004F0388" w:rsidTr="006B0421">
        <w:tc>
          <w:tcPr>
            <w:tcW w:w="2133" w:type="dxa"/>
          </w:tcPr>
          <w:p w:rsidR="00EF13CB" w:rsidRPr="00E413C1" w:rsidRDefault="00EF13CB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Целеполагание</w:t>
            </w:r>
          </w:p>
        </w:tc>
        <w:tc>
          <w:tcPr>
            <w:tcW w:w="12758" w:type="dxa"/>
          </w:tcPr>
          <w:p w:rsidR="00EF13CB" w:rsidRPr="00FD7119" w:rsidRDefault="00EF13CB" w:rsidP="00603B2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2441">
              <w:rPr>
                <w:rFonts w:ascii="Times New Roman" w:hAnsi="Times New Roman" w:cs="Times New Roman"/>
                <w:szCs w:val="24"/>
              </w:rPr>
              <w:t>Оказание финансовой</w:t>
            </w:r>
            <w:r w:rsidRPr="00FD7119" w:rsidDel="00EF13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7119">
              <w:rPr>
                <w:rFonts w:ascii="Times New Roman" w:hAnsi="Times New Roman" w:cs="Times New Roman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Cs w:val="24"/>
              </w:rPr>
              <w:t xml:space="preserve"> Субъектам МСП</w:t>
            </w:r>
            <w:r w:rsidR="007E4F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2441">
              <w:rPr>
                <w:rFonts w:ascii="Times New Roman" w:hAnsi="Times New Roman" w:cs="Times New Roman"/>
                <w:szCs w:val="24"/>
              </w:rPr>
              <w:t xml:space="preserve">посредством предоставления им кредитов на </w:t>
            </w:r>
            <w:r w:rsidR="00415A80">
              <w:rPr>
                <w:rFonts w:ascii="Times New Roman" w:hAnsi="Times New Roman" w:cs="Times New Roman"/>
                <w:szCs w:val="24"/>
              </w:rPr>
              <w:t xml:space="preserve">цели </w:t>
            </w:r>
            <w:r w:rsidR="00415A80" w:rsidRPr="00415A80">
              <w:rPr>
                <w:rFonts w:ascii="Times New Roman" w:hAnsi="Times New Roman" w:cs="Times New Roman"/>
                <w:szCs w:val="24"/>
              </w:rPr>
              <w:t>финансировани</w:t>
            </w:r>
            <w:r w:rsidR="00603B25">
              <w:rPr>
                <w:rFonts w:ascii="Times New Roman" w:hAnsi="Times New Roman" w:cs="Times New Roman"/>
                <w:szCs w:val="24"/>
              </w:rPr>
              <w:t>я</w:t>
            </w:r>
            <w:r w:rsidR="00415A80" w:rsidRPr="00415A80">
              <w:rPr>
                <w:rFonts w:ascii="Times New Roman" w:hAnsi="Times New Roman" w:cs="Times New Roman"/>
                <w:szCs w:val="24"/>
              </w:rPr>
              <w:t xml:space="preserve"> инвестиционных проектов в области создания инфраструктуры сельскохозяйственной кооперации</w:t>
            </w:r>
            <w:r w:rsidR="00415A8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F13CB" w:rsidRPr="004F0388" w:rsidTr="006B0421">
        <w:tc>
          <w:tcPr>
            <w:tcW w:w="2133" w:type="dxa"/>
          </w:tcPr>
          <w:p w:rsidR="00EF13CB" w:rsidRDefault="00EF13CB" w:rsidP="008E4F8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Целевой сегмент (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Заемщик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12758" w:type="dxa"/>
          </w:tcPr>
          <w:p w:rsidR="00415A80" w:rsidRDefault="00415A80" w:rsidP="00415A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15A80">
              <w:rPr>
                <w:rFonts w:ascii="Times New Roman" w:hAnsi="Times New Roman" w:cs="Times New Roman"/>
                <w:b/>
                <w:szCs w:val="24"/>
              </w:rPr>
              <w:t>Субъекты МСП</w:t>
            </w:r>
            <w:r w:rsidR="00D636D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415A80">
              <w:rPr>
                <w:rFonts w:ascii="Times New Roman" w:hAnsi="Times New Roman" w:cs="Times New Roman"/>
                <w:szCs w:val="24"/>
              </w:rPr>
              <w:t xml:space="preserve">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</w:t>
            </w:r>
            <w:r w:rsidR="0012210E">
              <w:rPr>
                <w:rFonts w:ascii="Times New Roman" w:hAnsi="Times New Roman" w:cs="Times New Roman"/>
                <w:szCs w:val="24"/>
              </w:rPr>
              <w:t>/ЕГРИП</w:t>
            </w:r>
            <w:r w:rsidRPr="00415A80">
              <w:rPr>
                <w:rFonts w:ascii="Times New Roman" w:hAnsi="Times New Roman" w:cs="Times New Roman"/>
                <w:szCs w:val="24"/>
              </w:rPr>
              <w:t xml:space="preserve">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415A80">
              <w:rPr>
                <w:rFonts w:ascii="Times New Roman" w:hAnsi="Times New Roman" w:cs="Times New Roman"/>
                <w:szCs w:val="24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общераспространенных)),</w:t>
            </w:r>
            <w:r>
              <w:rPr>
                <w:rFonts w:ascii="Times New Roman" w:hAnsi="Times New Roman" w:cs="Times New Roman"/>
                <w:szCs w:val="24"/>
              </w:rPr>
              <w:t xml:space="preserve"> реализующие инвестиционные проекты</w:t>
            </w:r>
            <w:r w:rsidRPr="00415A80">
              <w:rPr>
                <w:rFonts w:ascii="Times New Roman" w:hAnsi="Times New Roman" w:cs="Times New Roman"/>
                <w:szCs w:val="24"/>
              </w:rPr>
              <w:t xml:space="preserve"> в области создания инфраструктуры сельскохозяйственной кооперации</w:t>
            </w:r>
          </w:p>
          <w:p w:rsidR="00415A80" w:rsidRPr="00415A80" w:rsidRDefault="00415A80" w:rsidP="00415A8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A80" w:rsidRDefault="00415A80" w:rsidP="00415A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15A80">
              <w:rPr>
                <w:rFonts w:ascii="Times New Roman" w:hAnsi="Times New Roman" w:cs="Times New Roman"/>
                <w:b/>
                <w:szCs w:val="24"/>
              </w:rPr>
              <w:t>Проектные компании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Pr="00415A80">
              <w:rPr>
                <w:rFonts w:ascii="Times New Roman" w:hAnsi="Times New Roman" w:cs="Times New Roman"/>
                <w:szCs w:val="24"/>
              </w:rPr>
              <w:t>юридические лица, специально созданные для реализации инвестиционного проекта (за исключением лизинговых компаний)).</w:t>
            </w:r>
            <w:proofErr w:type="gramEnd"/>
          </w:p>
          <w:p w:rsidR="00415A80" w:rsidRPr="00415A80" w:rsidRDefault="00415A80" w:rsidP="00415A8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15A80" w:rsidRPr="002A102C" w:rsidRDefault="00415A80" w:rsidP="00415A80">
            <w:pPr>
              <w:jc w:val="both"/>
              <w:rPr>
                <w:rFonts w:ascii="Times New Roman" w:hAnsi="Times New Roman" w:cs="Times New Roman"/>
              </w:rPr>
            </w:pPr>
            <w:r w:rsidRPr="00415A80">
              <w:rPr>
                <w:rFonts w:ascii="Times New Roman" w:hAnsi="Times New Roman" w:cs="Times New Roman"/>
                <w:b/>
                <w:szCs w:val="24"/>
              </w:rPr>
              <w:t>Инициатор проекта</w:t>
            </w:r>
            <w:r w:rsidRPr="00415A80">
              <w:rPr>
                <w:rFonts w:ascii="Times New Roman" w:hAnsi="Times New Roman" w:cs="Times New Roman"/>
                <w:szCs w:val="24"/>
              </w:rPr>
              <w:t xml:space="preserve"> – лицо, предоставляющее в АО «МСП Банк» обращение и комплект документов, необходимый для получения инвестиционного кредита (Заемщик или иное лицо, на основании одобренного обращения которого заключается кредитный договор)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F13CB" w:rsidRPr="004F0388" w:rsidTr="00A40D1B">
        <w:trPr>
          <w:trHeight w:val="558"/>
        </w:trPr>
        <w:tc>
          <w:tcPr>
            <w:tcW w:w="2133" w:type="dxa"/>
          </w:tcPr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13CB" w:rsidRDefault="00EF13CB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EF13CB" w:rsidRPr="00E6163F" w:rsidRDefault="00EF13CB" w:rsidP="00844E4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12758" w:type="dxa"/>
          </w:tcPr>
          <w:p w:rsidR="00D95C53" w:rsidRDefault="00E53FC5" w:rsidP="00D95C53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A54622">
              <w:t>Критерии отб</w:t>
            </w:r>
            <w:r>
              <w:t>ора (</w:t>
            </w:r>
            <w:proofErr w:type="gramStart"/>
            <w:r>
              <w:t>стоп-факторы</w:t>
            </w:r>
            <w:proofErr w:type="gramEnd"/>
            <w:r>
              <w:t>, риск-факторы) в соответствии с Положением о стандартных стоп-факторах и риск-факторах по кредитным сделкам АО «МСП Банк»</w:t>
            </w:r>
            <w:r w:rsidR="00D95C53">
              <w:t>;</w:t>
            </w:r>
          </w:p>
          <w:p w:rsidR="00D95C53" w:rsidRDefault="00EF13CB" w:rsidP="00D95C53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D1661F">
              <w:t>Срок деятельности Заемщика</w:t>
            </w:r>
            <w:r w:rsidR="0012210E">
              <w:t>/Инициатора проекта</w:t>
            </w:r>
            <w:r w:rsidRPr="00D1661F">
              <w:t xml:space="preserve"> на дату подачи заявки</w:t>
            </w:r>
            <w:r>
              <w:t xml:space="preserve"> </w:t>
            </w:r>
            <w:r w:rsidR="00F02916">
              <w:t>–</w:t>
            </w:r>
            <w:r w:rsidRPr="00D1661F">
              <w:t xml:space="preserve"> 6 месяцев и более</w:t>
            </w:r>
            <w:r w:rsidR="00D95C53">
              <w:t>;</w:t>
            </w:r>
          </w:p>
          <w:p w:rsidR="00D95C53" w:rsidRDefault="00EF13CB" w:rsidP="00415A80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>
              <w:t>Регистрация на портале Бизнес-навигатор МСП</w:t>
            </w:r>
            <w:r w:rsidR="00415A80">
              <w:t>;</w:t>
            </w:r>
          </w:p>
          <w:p w:rsidR="00415A80" w:rsidRPr="00D1661F" w:rsidRDefault="00415A80" w:rsidP="00CC7380">
            <w:pPr>
              <w:pStyle w:val="a7"/>
              <w:numPr>
                <w:ilvl w:val="0"/>
                <w:numId w:val="29"/>
              </w:numPr>
              <w:tabs>
                <w:tab w:val="left" w:pos="468"/>
              </w:tabs>
              <w:ind w:right="34"/>
              <w:jc w:val="both"/>
              <w:textAlignment w:val="top"/>
            </w:pPr>
            <w:r>
              <w:rPr>
                <w:kern w:val="24"/>
              </w:rPr>
              <w:t>Р</w:t>
            </w:r>
            <w:r w:rsidRPr="0025499D">
              <w:rPr>
                <w:kern w:val="24"/>
              </w:rPr>
              <w:t>азмер выручки Субъекта МСП за предшествующий год/за весь период деятельности, е</w:t>
            </w:r>
            <w:r w:rsidRPr="0025499D">
              <w:t>сли Субъект МСП был зарегистрирован в год заключения кредитного договора</w:t>
            </w:r>
            <w:r w:rsidRPr="0025499D">
              <w:rPr>
                <w:kern w:val="24"/>
              </w:rPr>
              <w:t xml:space="preserve"> </w:t>
            </w:r>
            <w:r w:rsidR="00CC7380">
              <w:t>–</w:t>
            </w:r>
            <w:r w:rsidRPr="0025499D">
              <w:rPr>
                <w:kern w:val="24"/>
              </w:rPr>
              <w:t xml:space="preserve"> не менее 25 млн. руб.</w:t>
            </w:r>
            <w:r w:rsidRPr="0025499D">
              <w:rPr>
                <w:i/>
              </w:rPr>
              <w:t xml:space="preserve"> (не применяется к Проектным компаниям)</w:t>
            </w:r>
            <w:r w:rsidRPr="0025499D">
              <w:t>.</w:t>
            </w:r>
          </w:p>
        </w:tc>
      </w:tr>
      <w:tr w:rsidR="00EF13CB" w:rsidRPr="004F0388" w:rsidTr="006B0421">
        <w:tc>
          <w:tcPr>
            <w:tcW w:w="2133" w:type="dxa"/>
          </w:tcPr>
          <w:p w:rsidR="00EF13CB" w:rsidRPr="00E413C1" w:rsidRDefault="00EF13CB" w:rsidP="000B2086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2758" w:type="dxa"/>
          </w:tcPr>
          <w:p w:rsidR="00EF13CB" w:rsidRPr="004F0388" w:rsidRDefault="00EF13CB" w:rsidP="00273C97">
            <w:pPr>
              <w:rPr>
                <w:rFonts w:ascii="Times New Roman" w:hAnsi="Times New Roman" w:cs="Times New Roman"/>
                <w:szCs w:val="24"/>
              </w:rPr>
            </w:pPr>
            <w:r w:rsidRPr="004F0388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EF13CB" w:rsidRPr="004F0388" w:rsidTr="0090056A">
        <w:tc>
          <w:tcPr>
            <w:tcW w:w="2133" w:type="dxa"/>
          </w:tcPr>
          <w:p w:rsidR="00EF13CB" w:rsidRPr="00E413C1" w:rsidRDefault="00EF13CB" w:rsidP="000B20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758" w:type="dxa"/>
          </w:tcPr>
          <w:p w:rsidR="00CC7380" w:rsidRPr="00C92441" w:rsidRDefault="00CC7380" w:rsidP="00CC73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92441">
              <w:rPr>
                <w:rFonts w:ascii="Times New Roman" w:hAnsi="Times New Roman" w:cs="Times New Roman"/>
                <w:bCs/>
              </w:rPr>
              <w:t xml:space="preserve">Финансирование инвестиций, направленных </w:t>
            </w:r>
            <w:r w:rsidRPr="00C92441">
              <w:rPr>
                <w:rFonts w:ascii="Times New Roman" w:hAnsi="Times New Roman" w:cs="Times New Roman"/>
                <w:szCs w:val="24"/>
              </w:rPr>
              <w:t>на создание и/или приобретение (сооружение, изготовление, достройку,</w:t>
            </w:r>
            <w:r w:rsidRPr="00C92441">
              <w:rPr>
                <w:sz w:val="28"/>
                <w:szCs w:val="28"/>
              </w:rPr>
              <w:t xml:space="preserve"> </w:t>
            </w:r>
            <w:r w:rsidRPr="00C92441">
              <w:rPr>
                <w:rFonts w:ascii="Times New Roman" w:hAnsi="Times New Roman" w:cs="Times New Roman"/>
                <w:szCs w:val="24"/>
              </w:rPr>
              <w:t>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      </w:r>
            <w:proofErr w:type="gramEnd"/>
          </w:p>
          <w:p w:rsidR="008F474A" w:rsidRPr="00C560F6" w:rsidRDefault="00CC7380" w:rsidP="00CC7380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C92441">
              <w:rPr>
                <w:rFonts w:ascii="Times New Roman" w:hAnsi="Times New Roman" w:cs="Times New Roman"/>
                <w:szCs w:val="24"/>
              </w:rPr>
      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</w:t>
            </w:r>
            <w:r>
              <w:rPr>
                <w:rFonts w:ascii="Times New Roman" w:hAnsi="Times New Roman" w:cs="Times New Roman"/>
                <w:szCs w:val="24"/>
              </w:rPr>
              <w:t xml:space="preserve">связанных с реализацией сопутствующих мероприятий, </w:t>
            </w:r>
            <w:r w:rsidRPr="00C92441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Cs w:val="24"/>
              </w:rPr>
              <w:t>приобретение расходных материалов для проведения монтажа основных средств, пуско-наладочных работ</w:t>
            </w:r>
            <w:r w:rsidRPr="00C92441">
              <w:rPr>
                <w:rFonts w:ascii="Times New Roman" w:hAnsi="Times New Roman" w:cs="Times New Roman"/>
                <w:szCs w:val="24"/>
              </w:rPr>
              <w:t xml:space="preserve">, выплату заработной платы </w:t>
            </w:r>
            <w:r w:rsidRPr="00C92441">
              <w:rPr>
                <w:rFonts w:ascii="Times New Roman" w:hAnsi="Times New Roman" w:cs="Times New Roman"/>
                <w:szCs w:val="24"/>
              </w:rPr>
              <w:lastRenderedPageBreak/>
              <w:t>и  пр. платежи (не более 30% от величины кредита).</w:t>
            </w:r>
          </w:p>
        </w:tc>
      </w:tr>
      <w:tr w:rsidR="00EF13CB" w:rsidRPr="004F0388" w:rsidTr="006B0421">
        <w:tc>
          <w:tcPr>
            <w:tcW w:w="2133" w:type="dxa"/>
          </w:tcPr>
          <w:p w:rsidR="00EF13CB" w:rsidRPr="00E413C1" w:rsidRDefault="00EF13C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lastRenderedPageBreak/>
              <w:t>Форма кредита</w:t>
            </w:r>
          </w:p>
        </w:tc>
        <w:tc>
          <w:tcPr>
            <w:tcW w:w="12758" w:type="dxa"/>
          </w:tcPr>
          <w:p w:rsidR="00EF13CB" w:rsidRDefault="00EF13CB" w:rsidP="00BC40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Кредитная линия с лимитом выдачи</w:t>
            </w:r>
            <w:r w:rsidRPr="004F038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EF13CB" w:rsidRPr="004F0388" w:rsidTr="0090056A">
        <w:trPr>
          <w:trHeight w:val="274"/>
        </w:trPr>
        <w:tc>
          <w:tcPr>
            <w:tcW w:w="2133" w:type="dxa"/>
          </w:tcPr>
          <w:p w:rsidR="00EF13CB" w:rsidRPr="00E413C1" w:rsidRDefault="00EF13CB" w:rsidP="008A47D4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12758" w:type="dxa"/>
          </w:tcPr>
          <w:p w:rsidR="00EF13CB" w:rsidRDefault="00340C3C" w:rsidP="00D636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="009E2C6D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млн. руб. до </w:t>
            </w:r>
            <w:r w:rsidR="00EF13CB">
              <w:rPr>
                <w:rFonts w:ascii="Times New Roman" w:hAnsi="Times New Roman" w:cs="Times New Roman"/>
                <w:szCs w:val="24"/>
              </w:rPr>
              <w:t>5</w:t>
            </w:r>
            <w:r w:rsidR="009E2C6D">
              <w:rPr>
                <w:rFonts w:ascii="Times New Roman" w:hAnsi="Times New Roman" w:cs="Times New Roman"/>
                <w:szCs w:val="24"/>
              </w:rPr>
              <w:t>00</w:t>
            </w:r>
            <w:r w:rsidR="00EF13CB">
              <w:rPr>
                <w:rFonts w:ascii="Times New Roman" w:hAnsi="Times New Roman" w:cs="Times New Roman"/>
                <w:szCs w:val="24"/>
              </w:rPr>
              <w:t xml:space="preserve"> млн. руб. (включительно)</w:t>
            </w:r>
            <w:r w:rsidR="00447DF8">
              <w:rPr>
                <w:rStyle w:val="a6"/>
                <w:rFonts w:ascii="Times New Roman" w:hAnsi="Times New Roman" w:cs="Times New Roman"/>
                <w:szCs w:val="24"/>
              </w:rPr>
              <w:footnoteReference w:id="1"/>
            </w:r>
          </w:p>
        </w:tc>
      </w:tr>
      <w:tr w:rsidR="00EF13CB" w:rsidRPr="004F0388" w:rsidTr="0090056A">
        <w:trPr>
          <w:trHeight w:val="680"/>
        </w:trPr>
        <w:tc>
          <w:tcPr>
            <w:tcW w:w="2133" w:type="dxa"/>
          </w:tcPr>
          <w:p w:rsidR="00EF13CB" w:rsidRPr="00E413C1" w:rsidRDefault="00EF13CB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12758" w:type="dxa"/>
          </w:tcPr>
          <w:p w:rsidR="00EF13CB" w:rsidRDefault="00EF13CB" w:rsidP="008A47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C7380">
              <w:rPr>
                <w:rFonts w:ascii="Times New Roman" w:hAnsi="Times New Roman" w:cs="Times New Roman"/>
                <w:szCs w:val="24"/>
              </w:rPr>
              <w:t>более 84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  <w:r w:rsidR="009E2C6D">
              <w:rPr>
                <w:rFonts w:ascii="Times New Roman" w:hAnsi="Times New Roman" w:cs="Times New Roman"/>
                <w:szCs w:val="24"/>
              </w:rPr>
              <w:t>.</w:t>
            </w:r>
          </w:p>
          <w:p w:rsidR="00EF13CB" w:rsidRDefault="00EF13CB" w:rsidP="004A0B8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13CB" w:rsidRPr="004F0388" w:rsidTr="006B0421">
        <w:trPr>
          <w:trHeight w:val="571"/>
        </w:trPr>
        <w:tc>
          <w:tcPr>
            <w:tcW w:w="2133" w:type="dxa"/>
          </w:tcPr>
          <w:p w:rsidR="00EF13CB" w:rsidRDefault="00EF13CB" w:rsidP="0007712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Период доступности средств по кредитной линии</w:t>
            </w:r>
          </w:p>
        </w:tc>
        <w:tc>
          <w:tcPr>
            <w:tcW w:w="12758" w:type="dxa"/>
          </w:tcPr>
          <w:p w:rsidR="00EF13CB" w:rsidRDefault="00603B25" w:rsidP="00F029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07157">
              <w:rPr>
                <w:rFonts w:ascii="Times New Roman" w:hAnsi="Times New Roman" w:cs="Times New Roman"/>
                <w:szCs w:val="24"/>
              </w:rPr>
              <w:t>Устанавливается индивидуально</w:t>
            </w:r>
            <w:r>
              <w:rPr>
                <w:rFonts w:ascii="Times New Roman" w:hAnsi="Times New Roman" w:cs="Times New Roman"/>
                <w:szCs w:val="24"/>
              </w:rPr>
              <w:t xml:space="preserve"> по решению Уполномоченного органа Банка</w:t>
            </w:r>
            <w:r w:rsidRPr="00707157">
              <w:rPr>
                <w:rFonts w:ascii="Times New Roman" w:hAnsi="Times New Roman" w:cs="Times New Roman"/>
                <w:szCs w:val="24"/>
              </w:rPr>
              <w:t xml:space="preserve">, но не более 18 месяцев  </w:t>
            </w:r>
            <w:proofErr w:type="gramStart"/>
            <w:r w:rsidRPr="00707157">
              <w:rPr>
                <w:rFonts w:ascii="Times New Roman" w:hAnsi="Times New Roman" w:cs="Times New Roman"/>
                <w:szCs w:val="24"/>
              </w:rPr>
              <w:t>с даты заключения</w:t>
            </w:r>
            <w:proofErr w:type="gramEnd"/>
            <w:r w:rsidRPr="00707157">
              <w:rPr>
                <w:rFonts w:ascii="Times New Roman" w:hAnsi="Times New Roman" w:cs="Times New Roman"/>
                <w:szCs w:val="24"/>
              </w:rPr>
              <w:t xml:space="preserve"> кредитного договора</w:t>
            </w:r>
            <w:r w:rsidR="009E2C6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EF13CB" w:rsidRPr="004F0388" w:rsidTr="006B0421">
        <w:trPr>
          <w:trHeight w:val="571"/>
        </w:trPr>
        <w:tc>
          <w:tcPr>
            <w:tcW w:w="2133" w:type="dxa"/>
          </w:tcPr>
          <w:p w:rsidR="00EF13CB" w:rsidRDefault="00EF13CB" w:rsidP="000F774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Источник погашения кредита</w:t>
            </w:r>
          </w:p>
        </w:tc>
        <w:tc>
          <w:tcPr>
            <w:tcW w:w="12758" w:type="dxa"/>
          </w:tcPr>
          <w:p w:rsidR="00CC7380" w:rsidRDefault="00CC7380" w:rsidP="00CC7380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C92441">
              <w:t>Доходы, формируемые от текущей деятельности и/или доходы, формируемые от результата осуществляемых инвестиций</w:t>
            </w:r>
            <w:r>
              <w:t>.</w:t>
            </w:r>
            <w:r w:rsidRPr="00AB395F" w:rsidDel="008F2F5E">
              <w:t xml:space="preserve"> </w:t>
            </w:r>
          </w:p>
          <w:p w:rsidR="00EF13CB" w:rsidRDefault="00EF13CB" w:rsidP="00013C7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7380" w:rsidRPr="004F0388" w:rsidTr="006B0421">
        <w:trPr>
          <w:trHeight w:val="274"/>
        </w:trPr>
        <w:tc>
          <w:tcPr>
            <w:tcW w:w="2133" w:type="dxa"/>
          </w:tcPr>
          <w:p w:rsidR="00CC7380" w:rsidRPr="00CC7380" w:rsidRDefault="00CC7380" w:rsidP="00603B2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C7380">
              <w:rPr>
                <w:rFonts w:ascii="Times New Roman" w:hAnsi="Times New Roman" w:cs="Times New Roman"/>
                <w:i/>
                <w:szCs w:val="24"/>
              </w:rPr>
              <w:t xml:space="preserve">Требования к  инвестиционному кредиту/проекту </w:t>
            </w:r>
          </w:p>
        </w:tc>
        <w:tc>
          <w:tcPr>
            <w:tcW w:w="12758" w:type="dxa"/>
          </w:tcPr>
          <w:p w:rsidR="00CC7380" w:rsidRPr="00D64FCB" w:rsidRDefault="00CC7380" w:rsidP="00CC738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1. </w:t>
            </w:r>
            <w:r w:rsidRPr="00D64FCB">
              <w:rPr>
                <w:rFonts w:ascii="Times New Roman" w:hAnsi="Times New Roman" w:cs="Times New Roman"/>
                <w:b/>
                <w:i/>
                <w:szCs w:val="24"/>
              </w:rPr>
              <w:t>В случае если планируемым источником возвратности кредита являются д</w:t>
            </w:r>
            <w:r w:rsidRPr="00D64FCB">
              <w:rPr>
                <w:rFonts w:ascii="Times New Roman" w:hAnsi="Times New Roman" w:cs="Times New Roman"/>
                <w:b/>
                <w:i/>
              </w:rPr>
              <w:t>оходы от текущей деятельности:</w:t>
            </w:r>
          </w:p>
          <w:p w:rsidR="00CC7380" w:rsidRDefault="00CC7380" w:rsidP="00CC7380">
            <w:pPr>
              <w:jc w:val="both"/>
              <w:rPr>
                <w:rFonts w:ascii="Times New Roman" w:hAnsi="Times New Roman" w:cs="Times New Roman"/>
              </w:rPr>
            </w:pPr>
            <w:r w:rsidRPr="00AF269C">
              <w:rPr>
                <w:rFonts w:ascii="Times New Roman" w:hAnsi="Times New Roman" w:cs="Times New Roman"/>
              </w:rPr>
              <w:t>Предоставление бизнес-плана и/или ТЭО и</w:t>
            </w:r>
            <w:r>
              <w:rPr>
                <w:rFonts w:ascii="Times New Roman" w:hAnsi="Times New Roman" w:cs="Times New Roman"/>
              </w:rPr>
              <w:t>/или</w:t>
            </w:r>
            <w:r w:rsidRPr="00AF269C">
              <w:rPr>
                <w:rFonts w:ascii="Times New Roman" w:hAnsi="Times New Roman" w:cs="Times New Roman"/>
              </w:rPr>
              <w:t xml:space="preserve"> финансовой модели реализации инвестиционного проекта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C7380" w:rsidRDefault="00CC7380" w:rsidP="00CC7380">
            <w:pPr>
              <w:jc w:val="both"/>
              <w:rPr>
                <w:rFonts w:ascii="Times New Roman" w:hAnsi="Times New Roman" w:cs="Times New Roman"/>
              </w:rPr>
            </w:pPr>
          </w:p>
          <w:p w:rsidR="00CC7380" w:rsidRDefault="00D636DE" w:rsidP="00CC7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CC7380">
              <w:rPr>
                <w:rFonts w:ascii="Times New Roman" w:hAnsi="Times New Roman" w:cs="Times New Roman"/>
                <w:b/>
                <w:i/>
              </w:rPr>
              <w:t>.</w:t>
            </w:r>
            <w:r w:rsidR="00CC7380" w:rsidRPr="00D64FCB">
              <w:rPr>
                <w:rFonts w:ascii="Times New Roman" w:hAnsi="Times New Roman" w:cs="Times New Roman"/>
                <w:b/>
                <w:i/>
              </w:rPr>
              <w:t xml:space="preserve"> В случае если источником возвратности кредита является денежный поток, формируемый от результата осуществляемых инвестиций</w:t>
            </w:r>
            <w:r w:rsidR="00CC7380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C7380" w:rsidRDefault="00CC7380" w:rsidP="00CC7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AF269C">
              <w:rPr>
                <w:rFonts w:ascii="Times New Roman" w:hAnsi="Times New Roman" w:cs="Times New Roman"/>
              </w:rPr>
              <w:t>Предоставление бизнес-плана и/или ТЭО и финансовой модели реализации инвестиционного проекта с расчетом его окупаемости и обоснованием источников возвратности кредита.</w:t>
            </w:r>
          </w:p>
          <w:p w:rsidR="00CC7380" w:rsidRPr="00103F58" w:rsidRDefault="00CC7380" w:rsidP="00CC73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</w:t>
            </w:r>
            <w:r w:rsidRPr="00103F58">
              <w:rPr>
                <w:rFonts w:ascii="Times New Roman" w:hAnsi="Times New Roman" w:cs="Times New Roman"/>
              </w:rPr>
              <w:t>нвестиционный проект должен быть экономически эффективным:</w:t>
            </w:r>
          </w:p>
          <w:p w:rsidR="00CC7380" w:rsidRPr="00103F58" w:rsidRDefault="00CC7380" w:rsidP="00CC73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3F58">
              <w:rPr>
                <w:rFonts w:ascii="Times New Roman" w:hAnsi="Times New Roman" w:cs="Times New Roman"/>
                <w:szCs w:val="24"/>
              </w:rPr>
              <w:t>- чистая приведенная стоимость инвестиционного проекта больше нуля;</w:t>
            </w:r>
          </w:p>
          <w:p w:rsidR="00CC7380" w:rsidRDefault="00D636DE" w:rsidP="00CC73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CC7380" w:rsidRPr="00103F58">
              <w:rPr>
                <w:rFonts w:ascii="Times New Roman" w:hAnsi="Times New Roman" w:cs="Times New Roman"/>
                <w:szCs w:val="24"/>
              </w:rPr>
              <w:t>внутренняя норма рентабельности превышает обоснованно выбранную ставку дисконтирования (ставка дисконтирования рассчитывается как средневзвешенная рыночная стоимость капитала, участвующего в реализации проекта).</w:t>
            </w:r>
          </w:p>
          <w:p w:rsidR="00CC7380" w:rsidRDefault="00CC7380" w:rsidP="00CC73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3) Д</w:t>
            </w:r>
            <w:r w:rsidRPr="00C92441">
              <w:rPr>
                <w:rFonts w:ascii="Times New Roman" w:hAnsi="Times New Roman" w:cs="Times New Roman"/>
                <w:szCs w:val="24"/>
              </w:rPr>
              <w:t>оля финансирования Субъектом МСП  инвестиционного проекта за счет заемных средств составляет не более 80% от общей стоимости инвестиционного проекта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CC7380" w:rsidRPr="00EE4A72" w:rsidRDefault="00CC7380" w:rsidP="00CC73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4) у</w:t>
            </w:r>
            <w:r w:rsidRPr="00093E39">
              <w:rPr>
                <w:rFonts w:ascii="Times New Roman" w:hAnsi="Times New Roman" w:cs="Times New Roman"/>
                <w:szCs w:val="24"/>
              </w:rPr>
              <w:t xml:space="preserve">частие собственными средствами </w:t>
            </w:r>
            <w:r>
              <w:rPr>
                <w:rFonts w:ascii="Times New Roman" w:hAnsi="Times New Roman" w:cs="Times New Roman"/>
                <w:szCs w:val="24"/>
              </w:rPr>
              <w:t xml:space="preserve">Субъекта МСП </w:t>
            </w:r>
            <w:r w:rsidRPr="00093E39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Pr="00C92441">
              <w:rPr>
                <w:rFonts w:ascii="Times New Roman" w:hAnsi="Times New Roman" w:cs="Times New Roman"/>
                <w:szCs w:val="24"/>
              </w:rPr>
              <w:t>инвестиционно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 w:rsidRPr="00C92441">
              <w:rPr>
                <w:rFonts w:ascii="Times New Roman" w:hAnsi="Times New Roman" w:cs="Times New Roman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9244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3E39">
              <w:rPr>
                <w:rFonts w:ascii="Times New Roman" w:hAnsi="Times New Roman" w:cs="Times New Roman"/>
                <w:szCs w:val="24"/>
              </w:rPr>
              <w:t xml:space="preserve">- не менее 20% от </w:t>
            </w:r>
            <w:r w:rsidRPr="00C92441">
              <w:rPr>
                <w:rFonts w:ascii="Times New Roman" w:hAnsi="Times New Roman" w:cs="Times New Roman"/>
                <w:szCs w:val="24"/>
              </w:rPr>
              <w:t>общей стоимости инвестиционного проекта</w:t>
            </w:r>
            <w:r w:rsidRPr="00093E39">
              <w:rPr>
                <w:rFonts w:ascii="Times New Roman" w:hAnsi="Times New Roman" w:cs="Times New Roman"/>
                <w:szCs w:val="24"/>
              </w:rPr>
              <w:t xml:space="preserve"> (данное условие является обязательным и проверяется путем </w:t>
            </w:r>
            <w:r w:rsidRPr="00093E39">
              <w:rPr>
                <w:rFonts w:ascii="Times New Roman" w:hAnsi="Times New Roman" w:cs="Times New Roman"/>
                <w:bCs/>
                <w:szCs w:val="24"/>
              </w:rPr>
              <w:t>предоставления подтверждающих документов</w:t>
            </w:r>
          </w:p>
        </w:tc>
      </w:tr>
      <w:tr w:rsidR="00CC7380" w:rsidRPr="004F0388" w:rsidTr="006B0421">
        <w:trPr>
          <w:trHeight w:val="274"/>
        </w:trPr>
        <w:tc>
          <w:tcPr>
            <w:tcW w:w="2133" w:type="dxa"/>
          </w:tcPr>
          <w:p w:rsidR="00CC7380" w:rsidRPr="004B1B78" w:rsidRDefault="00CC7380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4B1B78">
              <w:rPr>
                <w:rFonts w:ascii="Times New Roman" w:hAnsi="Times New Roman" w:cs="Times New Roman"/>
                <w:i/>
                <w:szCs w:val="24"/>
              </w:rPr>
              <w:t>Порядок погашения кредита</w:t>
            </w:r>
          </w:p>
        </w:tc>
        <w:tc>
          <w:tcPr>
            <w:tcW w:w="12758" w:type="dxa"/>
          </w:tcPr>
          <w:p w:rsidR="00CC7380" w:rsidRPr="008333F4" w:rsidRDefault="00CC7380" w:rsidP="009E2C6D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>1. График погашения рассчитывается с учетом размера установленного лимита выдачи, который фиксируется при подписании кредитного договора.</w:t>
            </w:r>
          </w:p>
          <w:p w:rsidR="00D538CD" w:rsidRDefault="00CC7380" w:rsidP="009E2C6D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2. Ежемесячно, </w:t>
            </w:r>
            <w:r w:rsidR="00D538CD">
              <w:t>равномерное погашение/дифференцированное погашение</w:t>
            </w:r>
            <w:r w:rsidR="00D538CD">
              <w:rPr>
                <w:rStyle w:val="a6"/>
              </w:rPr>
              <w:footnoteReference w:id="2"/>
            </w:r>
            <w:r w:rsidR="00D538CD">
              <w:t xml:space="preserve"> по истечение</w:t>
            </w:r>
            <w:r w:rsidR="00D538CD" w:rsidRPr="007F0BEE">
              <w:t xml:space="preserve"> Периода доступности кредитной </w:t>
            </w:r>
            <w:r w:rsidR="00D538CD" w:rsidRPr="007F0BEE">
              <w:lastRenderedPageBreak/>
              <w:t xml:space="preserve">линии, начиная с месяца, следующего за месяцем, в </w:t>
            </w:r>
            <w:r w:rsidR="00D538CD" w:rsidRPr="0020457E">
              <w:t>котором закончился Период доступности кредитной линии</w:t>
            </w:r>
            <w:r w:rsidR="00D636DE">
              <w:t>.</w:t>
            </w:r>
          </w:p>
          <w:p w:rsidR="00CC7380" w:rsidRPr="008333F4" w:rsidRDefault="00CC7380" w:rsidP="009E2C6D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  <w:r w:rsidRPr="008333F4">
              <w:t xml:space="preserve">3. В случае досрочного погашения суммы кредита, включая возврат неиспользованной части кредита (части кредита), а </w:t>
            </w:r>
            <w:proofErr w:type="gramStart"/>
            <w:r w:rsidRPr="008333F4">
              <w:t>также</w:t>
            </w:r>
            <w:proofErr w:type="gramEnd"/>
            <w:r w:rsidRPr="008333F4">
              <w:t xml:space="preserve"> если по истечении Периода доступности кредитной линии была получена сумма кредита менее установленного размера лимита выдачи, суммы погашения, установленные графиком погашения кредита пропорционально уменьшаются, начиная с ближайшей даты погашения кредита, при этом даты погашения кредита остаются без изменения.</w:t>
            </w:r>
          </w:p>
          <w:p w:rsidR="00CC7380" w:rsidRDefault="00CC7380" w:rsidP="00C041BA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</w:pPr>
          </w:p>
        </w:tc>
      </w:tr>
      <w:tr w:rsidR="00CC7380" w:rsidRPr="004F0388" w:rsidTr="006B0421">
        <w:trPr>
          <w:trHeight w:val="571"/>
        </w:trPr>
        <w:tc>
          <w:tcPr>
            <w:tcW w:w="2133" w:type="dxa"/>
          </w:tcPr>
          <w:p w:rsidR="00CC7380" w:rsidRPr="004B1B78" w:rsidRDefault="00CC7380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lastRenderedPageBreak/>
              <w:t>Досрочное погашение кредита</w:t>
            </w:r>
          </w:p>
        </w:tc>
        <w:tc>
          <w:tcPr>
            <w:tcW w:w="12758" w:type="dxa"/>
          </w:tcPr>
          <w:p w:rsidR="00CC7380" w:rsidRDefault="00CC7380" w:rsidP="008A47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комиссий</w:t>
            </w:r>
          </w:p>
        </w:tc>
      </w:tr>
      <w:tr w:rsidR="00CC7380" w:rsidRPr="004F0388" w:rsidTr="00340C3C">
        <w:trPr>
          <w:trHeight w:val="571"/>
        </w:trPr>
        <w:tc>
          <w:tcPr>
            <w:tcW w:w="2133" w:type="dxa"/>
          </w:tcPr>
          <w:p w:rsidR="00CC7380" w:rsidRPr="00E413C1" w:rsidRDefault="00CC7380" w:rsidP="002B5AD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E413C1"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  <w:p w:rsidR="00CC7380" w:rsidRDefault="00CC7380" w:rsidP="007376E2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758" w:type="dxa"/>
          </w:tcPr>
          <w:p w:rsidR="00CC7380" w:rsidRPr="008333F4" w:rsidRDefault="00CC7380" w:rsidP="009E2C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Требования к обеспечению кредитных сделок суммами до 10 млн. руб. включительно соответствуют требованиям, определенным в  Альбоме правил маршрутизации заявок и принятия решений.</w:t>
            </w:r>
          </w:p>
          <w:p w:rsidR="00CC7380" w:rsidRPr="008333F4" w:rsidRDefault="00CC7380" w:rsidP="009E2C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7380" w:rsidRPr="008333F4" w:rsidRDefault="00CC7380" w:rsidP="009E2C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Требования к обеспечению кредитных сделок суммами свыше 10 млн. руб.:</w:t>
            </w:r>
          </w:p>
          <w:p w:rsidR="00CC7380" w:rsidRPr="008333F4" w:rsidRDefault="00CC7380" w:rsidP="009E2C6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C7380" w:rsidRPr="009E2C6D" w:rsidRDefault="00CC7380" w:rsidP="009E2C6D">
            <w:pPr>
              <w:pStyle w:val="a7"/>
              <w:numPr>
                <w:ilvl w:val="0"/>
                <w:numId w:val="32"/>
              </w:numPr>
              <w:jc w:val="both"/>
            </w:pPr>
            <w:r w:rsidRPr="009E2C6D">
              <w:t xml:space="preserve">Обеспечение в виде поручительства (предоставляется </w:t>
            </w:r>
            <w:r w:rsidRPr="009E2C6D">
              <w:rPr>
                <w:iCs/>
              </w:rPr>
              <w:t>на весь срок действия кредитного договора по всем денежным обязательствам Субъекта МСП, возникшим из кредитного договора</w:t>
            </w:r>
            <w:r w:rsidRPr="009E2C6D">
              <w:t xml:space="preserve">): </w:t>
            </w:r>
          </w:p>
          <w:p w:rsidR="00CC7380" w:rsidRPr="009E2C6D" w:rsidRDefault="00CC7380" w:rsidP="009E2C6D">
            <w:pPr>
              <w:pStyle w:val="a7"/>
              <w:jc w:val="both"/>
            </w:pPr>
          </w:p>
          <w:p w:rsidR="00CC7380" w:rsidRDefault="00CC7380" w:rsidP="009E2C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Для юридических лиц: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>поручительство бенефициарных владельцев или акционеров, участников</w:t>
            </w:r>
            <w:r w:rsidRPr="00833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 xml:space="preserve">Субъекта МСП (юридических и физических лиц), в совокупности владеющих более 50% уставного капитала Субъекта МСП, </w:t>
            </w:r>
            <w:r w:rsidRPr="008333F4">
              <w:rPr>
                <w:rFonts w:ascii="Times New Roman" w:hAnsi="Times New Roman" w:cs="Times New Roman"/>
                <w:szCs w:val="24"/>
              </w:rPr>
              <w:t>на сумму не менее размера кредита</w:t>
            </w:r>
            <w:r w:rsidRPr="008333F4">
              <w:rPr>
                <w:rFonts w:ascii="Times New Roman" w:hAnsi="Times New Roman" w:cs="Times New Roman"/>
                <w:iCs/>
              </w:rPr>
              <w:t>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C7380" w:rsidRPr="008333F4" w:rsidRDefault="00CC7380" w:rsidP="009E2C6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C7380" w:rsidRDefault="00CC7380" w:rsidP="009E2C6D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333F4">
              <w:rPr>
                <w:rFonts w:ascii="Times New Roman" w:hAnsi="Times New Roman" w:cs="Times New Roman"/>
                <w:i/>
                <w:szCs w:val="24"/>
              </w:rPr>
              <w:t>Для индивидуальных предпринимателей: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 xml:space="preserve">поручительство физических и (или) юридических лиц </w:t>
            </w:r>
            <w:r w:rsidRPr="008333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  <w:r w:rsidRPr="008333F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333F4">
              <w:rPr>
                <w:rFonts w:ascii="Times New Roman" w:hAnsi="Times New Roman" w:cs="Times New Roman"/>
                <w:szCs w:val="24"/>
              </w:rPr>
              <w:t>поручительство супруг</w:t>
            </w:r>
            <w:proofErr w:type="gramStart"/>
            <w:r w:rsidRPr="008333F4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8333F4">
              <w:rPr>
                <w:rFonts w:ascii="Times New Roman" w:hAnsi="Times New Roman" w:cs="Times New Roman"/>
                <w:szCs w:val="24"/>
              </w:rPr>
              <w:t xml:space="preserve">-и) </w:t>
            </w:r>
            <w:r w:rsidRPr="008333F4">
              <w:rPr>
                <w:rFonts w:ascii="Times New Roman" w:hAnsi="Times New Roman" w:cs="Times New Roman"/>
                <w:i/>
                <w:szCs w:val="24"/>
              </w:rPr>
              <w:t xml:space="preserve">(только для индивидуальных предпринимателей, состоящих в браке) </w:t>
            </w:r>
            <w:r w:rsidRPr="008333F4">
              <w:rPr>
                <w:rFonts w:ascii="Times New Roman" w:hAnsi="Times New Roman" w:cs="Times New Roman"/>
                <w:szCs w:val="24"/>
              </w:rPr>
              <w:t>на сумму не менее размера кредита</w:t>
            </w:r>
            <w:r w:rsidRPr="008333F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CC7380" w:rsidRPr="008333F4" w:rsidRDefault="00CC7380" w:rsidP="009E2C6D">
            <w:pPr>
              <w:pStyle w:val="a7"/>
              <w:jc w:val="both"/>
            </w:pPr>
          </w:p>
          <w:p w:rsidR="00CC7380" w:rsidRDefault="00CC7380" w:rsidP="009E2C6D">
            <w:pPr>
              <w:pStyle w:val="a7"/>
              <w:numPr>
                <w:ilvl w:val="0"/>
                <w:numId w:val="32"/>
              </w:numPr>
              <w:jc w:val="both"/>
            </w:pPr>
            <w:r w:rsidRPr="008333F4">
              <w:t xml:space="preserve">Обеспечение </w:t>
            </w:r>
            <w:r w:rsidRPr="009E2C6D">
              <w:t xml:space="preserve">не менее чем на 70% </w:t>
            </w:r>
            <w:r w:rsidRPr="008333F4">
              <w:t xml:space="preserve">от суммы основного долга по кредитному договору одним или несколькими видами обеспечения из ниже </w:t>
            </w:r>
            <w:proofErr w:type="gramStart"/>
            <w:r w:rsidRPr="008333F4">
              <w:t>перечисленных</w:t>
            </w:r>
            <w:proofErr w:type="gramEnd"/>
            <w:r w:rsidRPr="008333F4">
              <w:t xml:space="preserve"> (представляется </w:t>
            </w:r>
            <w:r w:rsidRPr="009E2C6D">
              <w:t>на весь срок действия кредитного договора по всем денежным обязательствам Субъекта МСП, возникшим из кредитного договора</w:t>
            </w:r>
            <w:r w:rsidRPr="008333F4">
              <w:t>):</w:t>
            </w:r>
          </w:p>
          <w:p w:rsidR="00CC7380" w:rsidRPr="008333F4" w:rsidRDefault="00CC7380" w:rsidP="009E2C6D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</w:p>
          <w:p w:rsidR="00CC7380" w:rsidRPr="008333F4" w:rsidRDefault="00CC7380" w:rsidP="009E2C6D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- поручительство региональных гарантийных организаций;</w:t>
            </w:r>
          </w:p>
          <w:p w:rsidR="00CC7380" w:rsidRPr="008333F4" w:rsidRDefault="00CC7380" w:rsidP="009E2C6D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333F4">
              <w:rPr>
                <w:rFonts w:ascii="Times New Roman" w:hAnsi="Times New Roman" w:cs="Times New Roman"/>
              </w:rPr>
              <w:t>- залог недвижимого имущества;</w:t>
            </w:r>
          </w:p>
          <w:p w:rsidR="00D538CD" w:rsidRDefault="00CC7380" w:rsidP="009E2C6D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t>- залог движимого имущества;</w:t>
            </w:r>
          </w:p>
          <w:p w:rsidR="00D538CD" w:rsidRPr="008333F4" w:rsidRDefault="00D538CD" w:rsidP="009E2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538CD">
              <w:rPr>
                <w:rFonts w:ascii="Times New Roman" w:hAnsi="Times New Roman" w:cs="Times New Roman"/>
              </w:rPr>
              <w:t>залог ценных бумаг</w:t>
            </w:r>
            <w:r w:rsidRPr="00D538CD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</w:rPr>
              <w:t>;</w:t>
            </w:r>
          </w:p>
          <w:p w:rsidR="00CC7380" w:rsidRPr="008333F4" w:rsidRDefault="00CC7380" w:rsidP="009E2C6D">
            <w:pPr>
              <w:jc w:val="both"/>
              <w:rPr>
                <w:rFonts w:ascii="Times New Roman" w:hAnsi="Times New Roman" w:cs="Times New Roman"/>
              </w:rPr>
            </w:pPr>
            <w:r w:rsidRPr="008333F4">
              <w:rPr>
                <w:rFonts w:ascii="Times New Roman" w:hAnsi="Times New Roman" w:cs="Times New Roman"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3F4">
              <w:rPr>
                <w:rFonts w:ascii="Times New Roman" w:hAnsi="Times New Roman" w:cs="Times New Roman"/>
              </w:rPr>
              <w:t>независимая гарантия АО «Корпорация «МСП»;</w:t>
            </w:r>
          </w:p>
          <w:p w:rsidR="00CC7380" w:rsidRDefault="00CC7380" w:rsidP="009E2C6D">
            <w:pPr>
              <w:pStyle w:val="a7"/>
              <w:tabs>
                <w:tab w:val="left" w:pos="320"/>
              </w:tabs>
              <w:ind w:left="26"/>
              <w:jc w:val="both"/>
              <w:rPr>
                <w:szCs w:val="28"/>
              </w:rPr>
            </w:pPr>
            <w:r w:rsidRPr="008333F4">
              <w:t xml:space="preserve">- </w:t>
            </w:r>
            <w:r>
              <w:t xml:space="preserve">иные виды обеспечения по решению </w:t>
            </w:r>
            <w:r w:rsidRPr="008333F4">
              <w:rPr>
                <w:szCs w:val="28"/>
              </w:rPr>
              <w:t>Уполномоченного органа Банка</w:t>
            </w:r>
            <w:r>
              <w:rPr>
                <w:szCs w:val="28"/>
              </w:rPr>
              <w:t>.</w:t>
            </w:r>
          </w:p>
          <w:p w:rsidR="00CC7380" w:rsidRPr="009974FB" w:rsidRDefault="00CC7380" w:rsidP="009E2C6D">
            <w:pPr>
              <w:pStyle w:val="a7"/>
              <w:tabs>
                <w:tab w:val="left" w:pos="320"/>
              </w:tabs>
              <w:ind w:left="26"/>
              <w:jc w:val="both"/>
            </w:pPr>
          </w:p>
        </w:tc>
      </w:tr>
      <w:tr w:rsidR="00CC7380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CC7380" w:rsidRPr="001F3B71" w:rsidRDefault="00CC7380" w:rsidP="00AE367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lastRenderedPageBreak/>
              <w:t>Размер процентной ставки по кредиту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380" w:rsidRPr="00DE4DFC" w:rsidRDefault="00CC7380" w:rsidP="00D95C53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>
              <w:rPr>
                <w:rFonts w:ascii="Times New Roman" w:eastAsia="Arial Black" w:hAnsi="Times New Roman" w:cs="Times New Roman"/>
                <w:bCs/>
                <w:szCs w:val="24"/>
              </w:rPr>
              <w:t xml:space="preserve">- 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для субъектов малого бизнеса – </w:t>
            </w:r>
            <w:r w:rsidR="00D538CD">
              <w:rPr>
                <w:rFonts w:ascii="Times New Roman" w:eastAsia="Arial Black" w:hAnsi="Times New Roman" w:cs="Times New Roman"/>
                <w:bCs/>
                <w:szCs w:val="24"/>
              </w:rPr>
              <w:t>9,9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CC7380" w:rsidRPr="00DE4DFC" w:rsidRDefault="00CC7380" w:rsidP="00D95C53">
            <w:pPr>
              <w:jc w:val="both"/>
              <w:rPr>
                <w:rFonts w:ascii="Times New Roman" w:hAnsi="Times New Roman" w:cs="Times New Roman"/>
              </w:rPr>
            </w:pP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</w:t>
            </w:r>
            <w:r w:rsidR="00D538CD">
              <w:rPr>
                <w:rFonts w:ascii="Times New Roman" w:eastAsia="Arial Black" w:hAnsi="Times New Roman" w:cs="Times New Roman"/>
                <w:bCs/>
                <w:szCs w:val="24"/>
              </w:rPr>
              <w:t>субъектов среднего бизнеса – 8,9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  <w:p w:rsidR="00CC7380" w:rsidRDefault="00CC7380" w:rsidP="00D95C53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C7380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CC7380" w:rsidRPr="001F3B71" w:rsidRDefault="00CC7380" w:rsidP="004A0B8D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Порядок погашения процентов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380" w:rsidRPr="00D1283F" w:rsidRDefault="00CC7380" w:rsidP="004A0B8D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D1283F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CC7380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CC7380" w:rsidRPr="008333F4" w:rsidRDefault="00CC7380" w:rsidP="00603B25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Обязательства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380" w:rsidRPr="008333F4" w:rsidRDefault="00CC7380" w:rsidP="00603B2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Pr="008333F4">
              <w:rPr>
                <w:rFonts w:ascii="Times New Roman" w:hAnsi="Times New Roman" w:cs="Times New Roman"/>
              </w:rPr>
              <w:t xml:space="preserve">Альбомом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Банк», а также, если применимо, дополнительные индивидуальные обязательства </w:t>
            </w:r>
            <w:r w:rsidRPr="008333F4">
              <w:rPr>
                <w:rFonts w:ascii="Times New Roman" w:hAnsi="Times New Roman" w:cs="Times New Roman"/>
                <w:szCs w:val="28"/>
              </w:rPr>
              <w:t>Заемщика, установленные АО «МСП Банк» на этапе структурирования кредитной сделки и утверждённые Уполномоченным органом Банка.</w:t>
            </w:r>
          </w:p>
        </w:tc>
      </w:tr>
      <w:tr w:rsidR="00CC7380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CC7380" w:rsidRPr="008333F4" w:rsidRDefault="00CC7380" w:rsidP="00603B25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Финансовые и нефинансовые ковенанты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380" w:rsidRPr="008333F4" w:rsidRDefault="00CC7380" w:rsidP="00603B2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Pr="008333F4">
              <w:rPr>
                <w:rFonts w:ascii="Times New Roman" w:hAnsi="Times New Roman" w:cs="Times New Roman"/>
              </w:rPr>
              <w:t xml:space="preserve">Альбомом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а также, </w:t>
            </w:r>
            <w:r w:rsidRPr="008333F4">
              <w:rPr>
                <w:rFonts w:ascii="Times New Roman" w:hAnsi="Times New Roman" w:cs="Times New Roman"/>
              </w:rPr>
              <w:t xml:space="preserve">если применимо, дополнительные 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индивидуальные финансовые и нефинансовые ковенанты, </w:t>
            </w:r>
            <w:r w:rsidRPr="008333F4">
              <w:rPr>
                <w:rFonts w:ascii="Times New Roman" w:hAnsi="Times New Roman" w:cs="Times New Roman"/>
                <w:szCs w:val="28"/>
              </w:rPr>
              <w:t>установленные на этапе структурирования кредитной сделки и утверждённые Уполномоченным органом Банка.</w:t>
            </w:r>
          </w:p>
        </w:tc>
      </w:tr>
      <w:tr w:rsidR="00CC7380" w:rsidRPr="004F0388" w:rsidTr="006B0421">
        <w:tc>
          <w:tcPr>
            <w:tcW w:w="2133" w:type="dxa"/>
            <w:tcBorders>
              <w:right w:val="single" w:sz="4" w:space="0" w:color="auto"/>
            </w:tcBorders>
          </w:tcPr>
          <w:p w:rsidR="00CC7380" w:rsidRPr="008333F4" w:rsidRDefault="00CC7380" w:rsidP="00603B25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 xml:space="preserve">Права АО «МСП Банк» при нарушении финансовых и нефинансовых </w:t>
            </w:r>
            <w:proofErr w:type="spellStart"/>
            <w:r w:rsidRPr="008333F4">
              <w:rPr>
                <w:rFonts w:ascii="Times New Roman" w:hAnsi="Times New Roman" w:cs="Times New Roman"/>
                <w:szCs w:val="24"/>
              </w:rPr>
              <w:t>ковенантов</w:t>
            </w:r>
            <w:proofErr w:type="spellEnd"/>
            <w:r w:rsidRPr="008333F4">
              <w:rPr>
                <w:rFonts w:ascii="Times New Roman" w:hAnsi="Times New Roman" w:cs="Times New Roman"/>
                <w:szCs w:val="24"/>
              </w:rPr>
              <w:t xml:space="preserve"> и обязательств Заемщика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380" w:rsidRPr="008333F4" w:rsidRDefault="00CC7380" w:rsidP="00603B2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33F4">
              <w:rPr>
                <w:rFonts w:ascii="Times New Roman" w:hAnsi="Times New Roman" w:cs="Times New Roman"/>
                <w:szCs w:val="28"/>
              </w:rPr>
              <w:t xml:space="preserve">В соответствии с </w:t>
            </w:r>
            <w:r w:rsidRPr="008333F4">
              <w:rPr>
                <w:rFonts w:ascii="Times New Roman" w:hAnsi="Times New Roman" w:cs="Times New Roman"/>
              </w:rPr>
              <w:t xml:space="preserve">Альбомом стандартных требованиях и </w:t>
            </w:r>
            <w:proofErr w:type="spellStart"/>
            <w:r w:rsidRPr="008333F4">
              <w:rPr>
                <w:rFonts w:ascii="Times New Roman" w:hAnsi="Times New Roman" w:cs="Times New Roman"/>
              </w:rPr>
              <w:t>ковенантах</w:t>
            </w:r>
            <w:proofErr w:type="spellEnd"/>
            <w:r w:rsidRPr="008333F4">
              <w:rPr>
                <w:rFonts w:ascii="Times New Roman" w:hAnsi="Times New Roman" w:cs="Times New Roman"/>
              </w:rPr>
              <w:t xml:space="preserve"> по кредитным сделкам АО «МСП Банк» и </w:t>
            </w:r>
            <w:r w:rsidRPr="008333F4">
              <w:rPr>
                <w:rFonts w:ascii="Times New Roman" w:hAnsi="Times New Roman" w:cs="Times New Roman"/>
                <w:szCs w:val="28"/>
              </w:rPr>
              <w:t>условиями, определенными решением Уполномоченного органа Банка и отраженными в кредитном договоре.</w:t>
            </w:r>
          </w:p>
        </w:tc>
      </w:tr>
    </w:tbl>
    <w:p w:rsidR="008E667B" w:rsidRPr="00185DEC" w:rsidRDefault="008E667B" w:rsidP="00961C88">
      <w:pPr>
        <w:pStyle w:val="a4"/>
        <w:spacing w:after="200" w:line="276" w:lineRule="auto"/>
        <w:jc w:val="right"/>
        <w:rPr>
          <w:sz w:val="24"/>
          <w:szCs w:val="24"/>
        </w:rPr>
      </w:pPr>
    </w:p>
    <w:sectPr w:rsidR="008E667B" w:rsidRPr="00185DEC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C5" w:rsidRDefault="003C51C5" w:rsidP="004F7948">
      <w:pPr>
        <w:spacing w:after="0" w:line="240" w:lineRule="auto"/>
      </w:pPr>
      <w:r>
        <w:separator/>
      </w:r>
    </w:p>
  </w:endnote>
  <w:endnote w:type="continuationSeparator" w:id="0">
    <w:p w:rsidR="003C51C5" w:rsidRDefault="003C51C5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C5" w:rsidRDefault="003C51C5" w:rsidP="004F7948">
      <w:pPr>
        <w:spacing w:after="0" w:line="240" w:lineRule="auto"/>
      </w:pPr>
      <w:r>
        <w:separator/>
      </w:r>
    </w:p>
  </w:footnote>
  <w:footnote w:type="continuationSeparator" w:id="0">
    <w:p w:rsidR="003C51C5" w:rsidRDefault="003C51C5" w:rsidP="004F7948">
      <w:pPr>
        <w:spacing w:after="0" w:line="240" w:lineRule="auto"/>
      </w:pPr>
      <w:r>
        <w:continuationSeparator/>
      </w:r>
    </w:p>
  </w:footnote>
  <w:footnote w:id="1">
    <w:p w:rsidR="003C51C5" w:rsidRDefault="003C51C5" w:rsidP="00447DF8">
      <w:pPr>
        <w:pStyle w:val="a4"/>
      </w:pPr>
      <w:r>
        <w:rPr>
          <w:rStyle w:val="a6"/>
        </w:rPr>
        <w:footnoteRef/>
      </w:r>
      <w:r>
        <w:t xml:space="preserve"> </w:t>
      </w:r>
      <w:r w:rsidRPr="00CF385D">
        <w:t>Максимальный размер по всем видам поддержки, оказывае</w:t>
      </w:r>
      <w:r>
        <w:t>мой АО «МСП Банк» Субъекту МСП/Группе связанных заемщиков</w:t>
      </w:r>
      <w:r w:rsidRPr="00CF385D">
        <w:t>, не должен превышать 1000 млн. руб.</w:t>
      </w:r>
    </w:p>
    <w:p w:rsidR="003C51C5" w:rsidRDefault="003C51C5">
      <w:pPr>
        <w:pStyle w:val="a4"/>
      </w:pPr>
    </w:p>
  </w:footnote>
  <w:footnote w:id="2">
    <w:p w:rsidR="003C51C5" w:rsidRDefault="003C51C5" w:rsidP="00D538CD">
      <w:pPr>
        <w:pStyle w:val="a4"/>
      </w:pPr>
      <w:r>
        <w:rPr>
          <w:rStyle w:val="a6"/>
        </w:rPr>
        <w:footnoteRef/>
      </w:r>
      <w:r>
        <w:t xml:space="preserve"> Ежемесячное погашение суммы основного долга</w:t>
      </w:r>
      <w:r w:rsidRPr="00093E39">
        <w:t>, допускается установление индивидуального графика погашения, в т.ч. с учетом сезонной деятельности</w:t>
      </w:r>
      <w:r>
        <w:t>.</w:t>
      </w:r>
    </w:p>
  </w:footnote>
  <w:footnote w:id="3">
    <w:p w:rsidR="003C51C5" w:rsidRPr="006E5D1E" w:rsidRDefault="003C51C5" w:rsidP="00D538C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E5D1E">
        <w:t xml:space="preserve">В качестве обеспечения оформляются собственные векселя АО «МСП Банк», а также ценные бумаги, перечень которых утвержден решением Наблюдательного совета АО «МСП Банк» </w:t>
      </w:r>
      <w:r>
        <w:t>(протокол</w:t>
      </w:r>
      <w:r w:rsidRPr="006E5D1E">
        <w:t xml:space="preserve"> от 19.10.2009</w:t>
      </w:r>
      <w:r>
        <w:t xml:space="preserve"> № 82)</w:t>
      </w:r>
      <w:r w:rsidRPr="006E5D1E">
        <w:t xml:space="preserve">, в </w:t>
      </w:r>
      <w:proofErr w:type="spellStart"/>
      <w:r w:rsidRPr="006E5D1E">
        <w:t>т.ч</w:t>
      </w:r>
      <w:proofErr w:type="spellEnd"/>
      <w:r w:rsidRPr="006E5D1E">
        <w:t>.:</w:t>
      </w:r>
    </w:p>
    <w:p w:rsidR="003C51C5" w:rsidRPr="006E5D1E" w:rsidRDefault="003C51C5" w:rsidP="00D538CD">
      <w:pPr>
        <w:pStyle w:val="a4"/>
        <w:numPr>
          <w:ilvl w:val="0"/>
          <w:numId w:val="1"/>
        </w:numPr>
        <w:tabs>
          <w:tab w:val="clear" w:pos="1440"/>
          <w:tab w:val="num" w:pos="540"/>
        </w:tabs>
        <w:ind w:left="540"/>
        <w:jc w:val="both"/>
      </w:pPr>
      <w:r w:rsidRPr="006E5D1E">
        <w:t>государственные ценные бумаги РФ, обращающиеся на  ММВБ, включенные в ломбардный список Банка России;</w:t>
      </w:r>
    </w:p>
    <w:p w:rsidR="003C51C5" w:rsidRPr="006E5D1E" w:rsidRDefault="003C51C5" w:rsidP="00D538CD">
      <w:pPr>
        <w:pStyle w:val="a4"/>
        <w:numPr>
          <w:ilvl w:val="0"/>
          <w:numId w:val="1"/>
        </w:numPr>
        <w:tabs>
          <w:tab w:val="clear" w:pos="1440"/>
          <w:tab w:val="num" w:pos="540"/>
        </w:tabs>
        <w:ind w:left="540"/>
        <w:jc w:val="both"/>
      </w:pPr>
      <w:r w:rsidRPr="006E5D1E">
        <w:t xml:space="preserve">субфедеральные ценные бумаги, обращающиеся на  ММВБ, включенные в ломбардный список Банка России и имеющие международный кредитный рейтинг - не ниже BB-(S&amp;P или </w:t>
      </w:r>
      <w:proofErr w:type="spellStart"/>
      <w:r w:rsidRPr="006E5D1E">
        <w:t>Fitch</w:t>
      </w:r>
      <w:proofErr w:type="spellEnd"/>
      <w:r w:rsidRPr="006E5D1E">
        <w:t>), Ba3(</w:t>
      </w:r>
      <w:proofErr w:type="spellStart"/>
      <w:r w:rsidRPr="006E5D1E">
        <w:t>Moody’s</w:t>
      </w:r>
      <w:proofErr w:type="spellEnd"/>
      <w:r w:rsidRPr="006E5D1E">
        <w:t>);</w:t>
      </w:r>
    </w:p>
    <w:p w:rsidR="003C51C5" w:rsidRPr="006E5D1E" w:rsidRDefault="003C51C5" w:rsidP="00D538CD">
      <w:pPr>
        <w:pStyle w:val="a4"/>
        <w:numPr>
          <w:ilvl w:val="0"/>
          <w:numId w:val="1"/>
        </w:numPr>
        <w:tabs>
          <w:tab w:val="clear" w:pos="1440"/>
          <w:tab w:val="num" w:pos="540"/>
        </w:tabs>
        <w:ind w:left="540"/>
        <w:jc w:val="both"/>
      </w:pPr>
      <w:r w:rsidRPr="006E5D1E">
        <w:t xml:space="preserve">корпоративные ценные бумаги российских эмитентов, обращающиеся на   ММВБ, включенные в  ломбардный список Банка России и имеющие международный кредитный рейтинг - не ниже  BB-(S&amp;P или </w:t>
      </w:r>
      <w:proofErr w:type="spellStart"/>
      <w:r w:rsidRPr="006E5D1E">
        <w:t>Fitch</w:t>
      </w:r>
      <w:proofErr w:type="spellEnd"/>
      <w:r w:rsidRPr="006E5D1E">
        <w:t>), Ba3(</w:t>
      </w:r>
      <w:proofErr w:type="spellStart"/>
      <w:r w:rsidRPr="006E5D1E">
        <w:t>Moody’s</w:t>
      </w:r>
      <w:proofErr w:type="spellEnd"/>
      <w:r w:rsidRPr="006E5D1E">
        <w:t>);</w:t>
      </w:r>
    </w:p>
    <w:p w:rsidR="003C51C5" w:rsidRPr="006E5D1E" w:rsidRDefault="003C51C5" w:rsidP="00D538CD">
      <w:pPr>
        <w:pStyle w:val="a4"/>
      </w:pPr>
      <w:r w:rsidRPr="006E5D1E">
        <w:t xml:space="preserve">векселя российских банков, международный кредитный рейтинг которых - не ниже BB-(S&amp;P или </w:t>
      </w:r>
      <w:proofErr w:type="spellStart"/>
      <w:r w:rsidRPr="006E5D1E">
        <w:t>Fitch</w:t>
      </w:r>
      <w:proofErr w:type="spellEnd"/>
      <w:r w:rsidRPr="006E5D1E">
        <w:t>), Ba3 (</w:t>
      </w:r>
      <w:proofErr w:type="spellStart"/>
      <w:r w:rsidRPr="006E5D1E">
        <w:t>Moody’s</w:t>
      </w:r>
      <w:proofErr w:type="spellEnd"/>
      <w:r w:rsidRPr="006E5D1E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27D"/>
    <w:multiLevelType w:val="hybridMultilevel"/>
    <w:tmpl w:val="A8766642"/>
    <w:lvl w:ilvl="0" w:tplc="6C9E5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E6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05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81A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00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50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625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E1D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C2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D4A90"/>
    <w:multiLevelType w:val="hybridMultilevel"/>
    <w:tmpl w:val="8244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7">
    <w:nsid w:val="32B624DE"/>
    <w:multiLevelType w:val="hybridMultilevel"/>
    <w:tmpl w:val="9E8E53D4"/>
    <w:lvl w:ilvl="0" w:tplc="741CB8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254E8"/>
    <w:multiLevelType w:val="hybridMultilevel"/>
    <w:tmpl w:val="2722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E5EDE"/>
    <w:multiLevelType w:val="hybridMultilevel"/>
    <w:tmpl w:val="6ACC8BEE"/>
    <w:lvl w:ilvl="0" w:tplc="0A0CCE06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>
    <w:nsid w:val="5249778A"/>
    <w:multiLevelType w:val="hybridMultilevel"/>
    <w:tmpl w:val="8910A128"/>
    <w:lvl w:ilvl="0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02C0F"/>
    <w:multiLevelType w:val="hybridMultilevel"/>
    <w:tmpl w:val="BF2A3BE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2C24C3"/>
    <w:multiLevelType w:val="hybridMultilevel"/>
    <w:tmpl w:val="8068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E64B8"/>
    <w:multiLevelType w:val="hybridMultilevel"/>
    <w:tmpl w:val="4D2039D4"/>
    <w:lvl w:ilvl="0" w:tplc="D19ABC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62B4E"/>
    <w:multiLevelType w:val="hybridMultilevel"/>
    <w:tmpl w:val="1DAC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0964"/>
    <w:multiLevelType w:val="hybridMultilevel"/>
    <w:tmpl w:val="CCF2E95E"/>
    <w:lvl w:ilvl="0" w:tplc="D83C14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505"/>
    <w:multiLevelType w:val="hybridMultilevel"/>
    <w:tmpl w:val="96E8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C440D"/>
    <w:multiLevelType w:val="hybridMultilevel"/>
    <w:tmpl w:val="CCF2E95E"/>
    <w:lvl w:ilvl="0" w:tplc="D83C14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B3C7CCE"/>
    <w:multiLevelType w:val="hybridMultilevel"/>
    <w:tmpl w:val="E73E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12654"/>
    <w:multiLevelType w:val="hybridMultilevel"/>
    <w:tmpl w:val="D81A0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8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25"/>
  </w:num>
  <w:num w:numId="8">
    <w:abstractNumId w:val="3"/>
  </w:num>
  <w:num w:numId="9">
    <w:abstractNumId w:val="31"/>
  </w:num>
  <w:num w:numId="10">
    <w:abstractNumId w:val="17"/>
  </w:num>
  <w:num w:numId="11">
    <w:abstractNumId w:val="24"/>
  </w:num>
  <w:num w:numId="12">
    <w:abstractNumId w:val="10"/>
  </w:num>
  <w:num w:numId="13">
    <w:abstractNumId w:val="12"/>
  </w:num>
  <w:num w:numId="14">
    <w:abstractNumId w:val="16"/>
  </w:num>
  <w:num w:numId="15">
    <w:abstractNumId w:val="7"/>
  </w:num>
  <w:num w:numId="16">
    <w:abstractNumId w:val="15"/>
  </w:num>
  <w:num w:numId="17">
    <w:abstractNumId w:val="22"/>
  </w:num>
  <w:num w:numId="18">
    <w:abstractNumId w:val="28"/>
  </w:num>
  <w:num w:numId="19">
    <w:abstractNumId w:val="21"/>
  </w:num>
  <w:num w:numId="20">
    <w:abstractNumId w:val="20"/>
  </w:num>
  <w:num w:numId="21">
    <w:abstractNumId w:val="26"/>
  </w:num>
  <w:num w:numId="22">
    <w:abstractNumId w:val="5"/>
  </w:num>
  <w:num w:numId="23">
    <w:abstractNumId w:val="9"/>
  </w:num>
  <w:num w:numId="24">
    <w:abstractNumId w:val="11"/>
  </w:num>
  <w:num w:numId="25">
    <w:abstractNumId w:val="19"/>
  </w:num>
  <w:num w:numId="26">
    <w:abstractNumId w:val="13"/>
  </w:num>
  <w:num w:numId="27">
    <w:abstractNumId w:val="2"/>
  </w:num>
  <w:num w:numId="28">
    <w:abstractNumId w:val="0"/>
  </w:num>
  <w:num w:numId="29">
    <w:abstractNumId w:val="27"/>
  </w:num>
  <w:num w:numId="30">
    <w:abstractNumId w:val="1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A"/>
    <w:rsid w:val="00006202"/>
    <w:rsid w:val="00006869"/>
    <w:rsid w:val="0000791B"/>
    <w:rsid w:val="00010E3B"/>
    <w:rsid w:val="00011BEC"/>
    <w:rsid w:val="0001244A"/>
    <w:rsid w:val="00013C78"/>
    <w:rsid w:val="00014CAF"/>
    <w:rsid w:val="00015134"/>
    <w:rsid w:val="000209B0"/>
    <w:rsid w:val="000227E3"/>
    <w:rsid w:val="00024D87"/>
    <w:rsid w:val="00026370"/>
    <w:rsid w:val="00026471"/>
    <w:rsid w:val="00027DDF"/>
    <w:rsid w:val="0003319B"/>
    <w:rsid w:val="00036FFF"/>
    <w:rsid w:val="0004520E"/>
    <w:rsid w:val="00045285"/>
    <w:rsid w:val="000460C1"/>
    <w:rsid w:val="00046243"/>
    <w:rsid w:val="00046392"/>
    <w:rsid w:val="0005120F"/>
    <w:rsid w:val="00051DD8"/>
    <w:rsid w:val="00057ECD"/>
    <w:rsid w:val="00070A68"/>
    <w:rsid w:val="00071D8A"/>
    <w:rsid w:val="00073941"/>
    <w:rsid w:val="00077127"/>
    <w:rsid w:val="00082204"/>
    <w:rsid w:val="00083BD4"/>
    <w:rsid w:val="000846DD"/>
    <w:rsid w:val="0008637B"/>
    <w:rsid w:val="000964C6"/>
    <w:rsid w:val="000A3AC8"/>
    <w:rsid w:val="000A3CDA"/>
    <w:rsid w:val="000A4CF8"/>
    <w:rsid w:val="000A6698"/>
    <w:rsid w:val="000B16F0"/>
    <w:rsid w:val="000B2086"/>
    <w:rsid w:val="000B3AA1"/>
    <w:rsid w:val="000B3FFE"/>
    <w:rsid w:val="000C2896"/>
    <w:rsid w:val="000C2A15"/>
    <w:rsid w:val="000D011F"/>
    <w:rsid w:val="000D32F4"/>
    <w:rsid w:val="000D4688"/>
    <w:rsid w:val="000E07E9"/>
    <w:rsid w:val="000E49A7"/>
    <w:rsid w:val="000E5556"/>
    <w:rsid w:val="000E6705"/>
    <w:rsid w:val="000F26C6"/>
    <w:rsid w:val="000F53C6"/>
    <w:rsid w:val="000F6818"/>
    <w:rsid w:val="000F6CD4"/>
    <w:rsid w:val="000F73AF"/>
    <w:rsid w:val="000F7742"/>
    <w:rsid w:val="001009E3"/>
    <w:rsid w:val="001100E8"/>
    <w:rsid w:val="00110448"/>
    <w:rsid w:val="001106E1"/>
    <w:rsid w:val="00114521"/>
    <w:rsid w:val="001149A6"/>
    <w:rsid w:val="001152E8"/>
    <w:rsid w:val="001159AB"/>
    <w:rsid w:val="0012210E"/>
    <w:rsid w:val="0012506A"/>
    <w:rsid w:val="00125FE0"/>
    <w:rsid w:val="0012629F"/>
    <w:rsid w:val="00126397"/>
    <w:rsid w:val="00130BAD"/>
    <w:rsid w:val="00131357"/>
    <w:rsid w:val="00134BFD"/>
    <w:rsid w:val="00140E26"/>
    <w:rsid w:val="0014517F"/>
    <w:rsid w:val="001479EA"/>
    <w:rsid w:val="00150D4B"/>
    <w:rsid w:val="0015562D"/>
    <w:rsid w:val="00162608"/>
    <w:rsid w:val="00164659"/>
    <w:rsid w:val="0017048A"/>
    <w:rsid w:val="00173A53"/>
    <w:rsid w:val="001766CB"/>
    <w:rsid w:val="0018245C"/>
    <w:rsid w:val="00182F9C"/>
    <w:rsid w:val="00185DEC"/>
    <w:rsid w:val="00186501"/>
    <w:rsid w:val="00187E32"/>
    <w:rsid w:val="0019225F"/>
    <w:rsid w:val="001969E8"/>
    <w:rsid w:val="001A1689"/>
    <w:rsid w:val="001B0527"/>
    <w:rsid w:val="001B2747"/>
    <w:rsid w:val="001B3F00"/>
    <w:rsid w:val="001C1122"/>
    <w:rsid w:val="001C1EC7"/>
    <w:rsid w:val="001C4151"/>
    <w:rsid w:val="001C4ED6"/>
    <w:rsid w:val="001D12D7"/>
    <w:rsid w:val="001E1842"/>
    <w:rsid w:val="001E2708"/>
    <w:rsid w:val="001F318F"/>
    <w:rsid w:val="001F3B71"/>
    <w:rsid w:val="001F6889"/>
    <w:rsid w:val="00201A20"/>
    <w:rsid w:val="00203B41"/>
    <w:rsid w:val="00203F7A"/>
    <w:rsid w:val="00205E27"/>
    <w:rsid w:val="00206F73"/>
    <w:rsid w:val="00213BBB"/>
    <w:rsid w:val="002334C8"/>
    <w:rsid w:val="0023569D"/>
    <w:rsid w:val="00235AD2"/>
    <w:rsid w:val="002407A9"/>
    <w:rsid w:val="00242D24"/>
    <w:rsid w:val="00244502"/>
    <w:rsid w:val="00245A9D"/>
    <w:rsid w:val="002516E1"/>
    <w:rsid w:val="002518EE"/>
    <w:rsid w:val="00263009"/>
    <w:rsid w:val="002650F7"/>
    <w:rsid w:val="00267199"/>
    <w:rsid w:val="00267FBB"/>
    <w:rsid w:val="00271E07"/>
    <w:rsid w:val="00273C97"/>
    <w:rsid w:val="0027414F"/>
    <w:rsid w:val="00283103"/>
    <w:rsid w:val="002838C7"/>
    <w:rsid w:val="00292083"/>
    <w:rsid w:val="00292F16"/>
    <w:rsid w:val="00293F65"/>
    <w:rsid w:val="00297B1D"/>
    <w:rsid w:val="00297B21"/>
    <w:rsid w:val="002A06C8"/>
    <w:rsid w:val="002A102C"/>
    <w:rsid w:val="002A4050"/>
    <w:rsid w:val="002A552B"/>
    <w:rsid w:val="002A7840"/>
    <w:rsid w:val="002A794D"/>
    <w:rsid w:val="002B429B"/>
    <w:rsid w:val="002B5ADD"/>
    <w:rsid w:val="002B60AE"/>
    <w:rsid w:val="002B7B9A"/>
    <w:rsid w:val="002C0315"/>
    <w:rsid w:val="002C16CC"/>
    <w:rsid w:val="002C2CCE"/>
    <w:rsid w:val="002D03A5"/>
    <w:rsid w:val="002D166D"/>
    <w:rsid w:val="002D2090"/>
    <w:rsid w:val="002D35C8"/>
    <w:rsid w:val="002D4622"/>
    <w:rsid w:val="002D6348"/>
    <w:rsid w:val="002D6362"/>
    <w:rsid w:val="002E57BE"/>
    <w:rsid w:val="002F3A93"/>
    <w:rsid w:val="0030351E"/>
    <w:rsid w:val="0030437B"/>
    <w:rsid w:val="003060DA"/>
    <w:rsid w:val="0031089F"/>
    <w:rsid w:val="00311DCE"/>
    <w:rsid w:val="00311F89"/>
    <w:rsid w:val="00316381"/>
    <w:rsid w:val="00322CAB"/>
    <w:rsid w:val="003237E2"/>
    <w:rsid w:val="003266EB"/>
    <w:rsid w:val="00331DF3"/>
    <w:rsid w:val="00332357"/>
    <w:rsid w:val="00332DAE"/>
    <w:rsid w:val="003335CB"/>
    <w:rsid w:val="00333802"/>
    <w:rsid w:val="0033733B"/>
    <w:rsid w:val="00340C3C"/>
    <w:rsid w:val="003426D6"/>
    <w:rsid w:val="003475B7"/>
    <w:rsid w:val="00355EA1"/>
    <w:rsid w:val="0036077C"/>
    <w:rsid w:val="003641F3"/>
    <w:rsid w:val="00367C9A"/>
    <w:rsid w:val="00375189"/>
    <w:rsid w:val="00376FA9"/>
    <w:rsid w:val="003827E2"/>
    <w:rsid w:val="00384564"/>
    <w:rsid w:val="00384A5B"/>
    <w:rsid w:val="003933AB"/>
    <w:rsid w:val="00394FBD"/>
    <w:rsid w:val="0039589A"/>
    <w:rsid w:val="003976A6"/>
    <w:rsid w:val="003A3D23"/>
    <w:rsid w:val="003B5DF3"/>
    <w:rsid w:val="003B5E14"/>
    <w:rsid w:val="003B70F5"/>
    <w:rsid w:val="003C1056"/>
    <w:rsid w:val="003C260D"/>
    <w:rsid w:val="003C36B6"/>
    <w:rsid w:val="003C51C5"/>
    <w:rsid w:val="003C6298"/>
    <w:rsid w:val="003C6695"/>
    <w:rsid w:val="003C6C36"/>
    <w:rsid w:val="003C7C59"/>
    <w:rsid w:val="003D213B"/>
    <w:rsid w:val="003D3D4A"/>
    <w:rsid w:val="003D78E5"/>
    <w:rsid w:val="003E1B07"/>
    <w:rsid w:val="003F0D4B"/>
    <w:rsid w:val="003F5FA9"/>
    <w:rsid w:val="00402A25"/>
    <w:rsid w:val="00403386"/>
    <w:rsid w:val="00406B69"/>
    <w:rsid w:val="00407A40"/>
    <w:rsid w:val="00411AE9"/>
    <w:rsid w:val="00415434"/>
    <w:rsid w:val="00415A80"/>
    <w:rsid w:val="004200D3"/>
    <w:rsid w:val="0043314B"/>
    <w:rsid w:val="00434778"/>
    <w:rsid w:val="00442594"/>
    <w:rsid w:val="00447DF8"/>
    <w:rsid w:val="004540E2"/>
    <w:rsid w:val="00455C3A"/>
    <w:rsid w:val="00455DD9"/>
    <w:rsid w:val="004649A2"/>
    <w:rsid w:val="004665AE"/>
    <w:rsid w:val="00467FA3"/>
    <w:rsid w:val="0048149A"/>
    <w:rsid w:val="00482691"/>
    <w:rsid w:val="004843A4"/>
    <w:rsid w:val="00485DF3"/>
    <w:rsid w:val="00485F0C"/>
    <w:rsid w:val="00490020"/>
    <w:rsid w:val="00491827"/>
    <w:rsid w:val="00493425"/>
    <w:rsid w:val="00494F17"/>
    <w:rsid w:val="004A0B8D"/>
    <w:rsid w:val="004A1D51"/>
    <w:rsid w:val="004B0708"/>
    <w:rsid w:val="004B1B78"/>
    <w:rsid w:val="004B68BE"/>
    <w:rsid w:val="004B74F4"/>
    <w:rsid w:val="004C52E3"/>
    <w:rsid w:val="004D0609"/>
    <w:rsid w:val="004D52E0"/>
    <w:rsid w:val="004D724A"/>
    <w:rsid w:val="004E55C1"/>
    <w:rsid w:val="004E5710"/>
    <w:rsid w:val="004F0388"/>
    <w:rsid w:val="004F2C30"/>
    <w:rsid w:val="004F2C43"/>
    <w:rsid w:val="004F7948"/>
    <w:rsid w:val="0050041C"/>
    <w:rsid w:val="00500FEF"/>
    <w:rsid w:val="0050219C"/>
    <w:rsid w:val="005035D6"/>
    <w:rsid w:val="00506E31"/>
    <w:rsid w:val="005072E7"/>
    <w:rsid w:val="00515921"/>
    <w:rsid w:val="00516F98"/>
    <w:rsid w:val="00520718"/>
    <w:rsid w:val="00524E31"/>
    <w:rsid w:val="005319EA"/>
    <w:rsid w:val="00534407"/>
    <w:rsid w:val="005347B5"/>
    <w:rsid w:val="005351E3"/>
    <w:rsid w:val="005364D2"/>
    <w:rsid w:val="00545BA3"/>
    <w:rsid w:val="005476BC"/>
    <w:rsid w:val="005528A5"/>
    <w:rsid w:val="00553E35"/>
    <w:rsid w:val="00557456"/>
    <w:rsid w:val="0056215F"/>
    <w:rsid w:val="00565022"/>
    <w:rsid w:val="005658BF"/>
    <w:rsid w:val="00565951"/>
    <w:rsid w:val="005674B7"/>
    <w:rsid w:val="00571CFB"/>
    <w:rsid w:val="00572440"/>
    <w:rsid w:val="00575714"/>
    <w:rsid w:val="00575CBB"/>
    <w:rsid w:val="00577045"/>
    <w:rsid w:val="005775B6"/>
    <w:rsid w:val="00577936"/>
    <w:rsid w:val="00582149"/>
    <w:rsid w:val="00582598"/>
    <w:rsid w:val="00582670"/>
    <w:rsid w:val="005847E7"/>
    <w:rsid w:val="00584BC3"/>
    <w:rsid w:val="00586E6E"/>
    <w:rsid w:val="00587A07"/>
    <w:rsid w:val="00590291"/>
    <w:rsid w:val="005919D7"/>
    <w:rsid w:val="00591EEB"/>
    <w:rsid w:val="00594F12"/>
    <w:rsid w:val="00595239"/>
    <w:rsid w:val="005A2260"/>
    <w:rsid w:val="005A382C"/>
    <w:rsid w:val="005A679C"/>
    <w:rsid w:val="005B1469"/>
    <w:rsid w:val="005B4613"/>
    <w:rsid w:val="005B6BAB"/>
    <w:rsid w:val="005B7F4A"/>
    <w:rsid w:val="005C056A"/>
    <w:rsid w:val="005C31C0"/>
    <w:rsid w:val="005C3977"/>
    <w:rsid w:val="005C40D5"/>
    <w:rsid w:val="005C4BCE"/>
    <w:rsid w:val="005C5E3E"/>
    <w:rsid w:val="005C6AB9"/>
    <w:rsid w:val="005D2576"/>
    <w:rsid w:val="005D326A"/>
    <w:rsid w:val="005D5056"/>
    <w:rsid w:val="005E37E4"/>
    <w:rsid w:val="005E59F3"/>
    <w:rsid w:val="005E768A"/>
    <w:rsid w:val="005E7A58"/>
    <w:rsid w:val="005F19D6"/>
    <w:rsid w:val="0060301B"/>
    <w:rsid w:val="00603B25"/>
    <w:rsid w:val="0061024B"/>
    <w:rsid w:val="00610918"/>
    <w:rsid w:val="0061470E"/>
    <w:rsid w:val="006150C2"/>
    <w:rsid w:val="00616A24"/>
    <w:rsid w:val="00620A0B"/>
    <w:rsid w:val="006216E4"/>
    <w:rsid w:val="00622DD5"/>
    <w:rsid w:val="006230E7"/>
    <w:rsid w:val="00624DF7"/>
    <w:rsid w:val="0063340E"/>
    <w:rsid w:val="00633872"/>
    <w:rsid w:val="006343BD"/>
    <w:rsid w:val="006357FF"/>
    <w:rsid w:val="006406F1"/>
    <w:rsid w:val="00640895"/>
    <w:rsid w:val="00641822"/>
    <w:rsid w:val="00643E83"/>
    <w:rsid w:val="00645432"/>
    <w:rsid w:val="00647737"/>
    <w:rsid w:val="00652147"/>
    <w:rsid w:val="00652C8B"/>
    <w:rsid w:val="00655F02"/>
    <w:rsid w:val="00666387"/>
    <w:rsid w:val="0067324A"/>
    <w:rsid w:val="006775B1"/>
    <w:rsid w:val="006850CD"/>
    <w:rsid w:val="006878E6"/>
    <w:rsid w:val="006929F2"/>
    <w:rsid w:val="00693E3E"/>
    <w:rsid w:val="00697B33"/>
    <w:rsid w:val="006A0FFA"/>
    <w:rsid w:val="006A1FEE"/>
    <w:rsid w:val="006A469C"/>
    <w:rsid w:val="006A4E22"/>
    <w:rsid w:val="006A4ED3"/>
    <w:rsid w:val="006B0421"/>
    <w:rsid w:val="006B50BA"/>
    <w:rsid w:val="006B5EC0"/>
    <w:rsid w:val="006D0F41"/>
    <w:rsid w:val="006D149C"/>
    <w:rsid w:val="006D28C9"/>
    <w:rsid w:val="006D3F98"/>
    <w:rsid w:val="006D4A36"/>
    <w:rsid w:val="006E38C2"/>
    <w:rsid w:val="006F3011"/>
    <w:rsid w:val="006F5C48"/>
    <w:rsid w:val="007014DA"/>
    <w:rsid w:val="00701720"/>
    <w:rsid w:val="00707A75"/>
    <w:rsid w:val="00707E98"/>
    <w:rsid w:val="0071197A"/>
    <w:rsid w:val="007122F1"/>
    <w:rsid w:val="00720A06"/>
    <w:rsid w:val="00735374"/>
    <w:rsid w:val="00735690"/>
    <w:rsid w:val="007376E2"/>
    <w:rsid w:val="00737B30"/>
    <w:rsid w:val="00744371"/>
    <w:rsid w:val="00745593"/>
    <w:rsid w:val="00751B0F"/>
    <w:rsid w:val="00752812"/>
    <w:rsid w:val="0075396A"/>
    <w:rsid w:val="00754272"/>
    <w:rsid w:val="00754D8D"/>
    <w:rsid w:val="00757A16"/>
    <w:rsid w:val="00761402"/>
    <w:rsid w:val="00763620"/>
    <w:rsid w:val="007706BE"/>
    <w:rsid w:val="007738C3"/>
    <w:rsid w:val="007750EC"/>
    <w:rsid w:val="0077775D"/>
    <w:rsid w:val="00780ECE"/>
    <w:rsid w:val="007823FB"/>
    <w:rsid w:val="00786766"/>
    <w:rsid w:val="00791203"/>
    <w:rsid w:val="007918E9"/>
    <w:rsid w:val="0079366E"/>
    <w:rsid w:val="007A4837"/>
    <w:rsid w:val="007A715D"/>
    <w:rsid w:val="007B42C9"/>
    <w:rsid w:val="007B46E4"/>
    <w:rsid w:val="007B4C28"/>
    <w:rsid w:val="007D37D0"/>
    <w:rsid w:val="007D4858"/>
    <w:rsid w:val="007D6A50"/>
    <w:rsid w:val="007E012F"/>
    <w:rsid w:val="007E1353"/>
    <w:rsid w:val="007E189F"/>
    <w:rsid w:val="007E244D"/>
    <w:rsid w:val="007E4F47"/>
    <w:rsid w:val="007E538A"/>
    <w:rsid w:val="007F1D82"/>
    <w:rsid w:val="007F2C0A"/>
    <w:rsid w:val="007F5A89"/>
    <w:rsid w:val="007F5EB6"/>
    <w:rsid w:val="007F6F83"/>
    <w:rsid w:val="00800A30"/>
    <w:rsid w:val="0080192D"/>
    <w:rsid w:val="00801D3E"/>
    <w:rsid w:val="008105AA"/>
    <w:rsid w:val="00811817"/>
    <w:rsid w:val="00825B4F"/>
    <w:rsid w:val="00832EA6"/>
    <w:rsid w:val="00835CB1"/>
    <w:rsid w:val="008404D1"/>
    <w:rsid w:val="00843716"/>
    <w:rsid w:val="00843A98"/>
    <w:rsid w:val="008442FD"/>
    <w:rsid w:val="00844E4B"/>
    <w:rsid w:val="00847765"/>
    <w:rsid w:val="00847964"/>
    <w:rsid w:val="008564B9"/>
    <w:rsid w:val="00860751"/>
    <w:rsid w:val="008619BB"/>
    <w:rsid w:val="008650A0"/>
    <w:rsid w:val="0086706D"/>
    <w:rsid w:val="00871B54"/>
    <w:rsid w:val="00876BD4"/>
    <w:rsid w:val="00876ECB"/>
    <w:rsid w:val="0088364B"/>
    <w:rsid w:val="008844D5"/>
    <w:rsid w:val="00893B95"/>
    <w:rsid w:val="008954C4"/>
    <w:rsid w:val="00896786"/>
    <w:rsid w:val="008A00F3"/>
    <w:rsid w:val="008A2119"/>
    <w:rsid w:val="008A47D4"/>
    <w:rsid w:val="008B1D10"/>
    <w:rsid w:val="008B3BF0"/>
    <w:rsid w:val="008B5442"/>
    <w:rsid w:val="008B6823"/>
    <w:rsid w:val="008B70B5"/>
    <w:rsid w:val="008C049D"/>
    <w:rsid w:val="008C0886"/>
    <w:rsid w:val="008C0B28"/>
    <w:rsid w:val="008C2610"/>
    <w:rsid w:val="008C30D0"/>
    <w:rsid w:val="008C3F4C"/>
    <w:rsid w:val="008C5F47"/>
    <w:rsid w:val="008D0A77"/>
    <w:rsid w:val="008D5D29"/>
    <w:rsid w:val="008D5D33"/>
    <w:rsid w:val="008E2FA6"/>
    <w:rsid w:val="008E3E14"/>
    <w:rsid w:val="008E3EDF"/>
    <w:rsid w:val="008E400E"/>
    <w:rsid w:val="008E43BD"/>
    <w:rsid w:val="008E49D9"/>
    <w:rsid w:val="008E4F4E"/>
    <w:rsid w:val="008E4F84"/>
    <w:rsid w:val="008E667B"/>
    <w:rsid w:val="008E698E"/>
    <w:rsid w:val="008E6996"/>
    <w:rsid w:val="008F3A69"/>
    <w:rsid w:val="008F474A"/>
    <w:rsid w:val="0090056A"/>
    <w:rsid w:val="00902446"/>
    <w:rsid w:val="0090330A"/>
    <w:rsid w:val="00905124"/>
    <w:rsid w:val="00910164"/>
    <w:rsid w:val="00910D69"/>
    <w:rsid w:val="0091245A"/>
    <w:rsid w:val="009149E4"/>
    <w:rsid w:val="00915305"/>
    <w:rsid w:val="00917E32"/>
    <w:rsid w:val="009205A9"/>
    <w:rsid w:val="00923FF1"/>
    <w:rsid w:val="0092473A"/>
    <w:rsid w:val="009266AD"/>
    <w:rsid w:val="00934279"/>
    <w:rsid w:val="00936A78"/>
    <w:rsid w:val="009424AF"/>
    <w:rsid w:val="00942C80"/>
    <w:rsid w:val="00953D31"/>
    <w:rsid w:val="00956604"/>
    <w:rsid w:val="00956A0E"/>
    <w:rsid w:val="00961C88"/>
    <w:rsid w:val="00964E01"/>
    <w:rsid w:val="009651DB"/>
    <w:rsid w:val="00971137"/>
    <w:rsid w:val="0097117A"/>
    <w:rsid w:val="009734A9"/>
    <w:rsid w:val="00984717"/>
    <w:rsid w:val="00991A0B"/>
    <w:rsid w:val="009920E6"/>
    <w:rsid w:val="00993AB8"/>
    <w:rsid w:val="00994A10"/>
    <w:rsid w:val="00994A35"/>
    <w:rsid w:val="00995A4B"/>
    <w:rsid w:val="00996B57"/>
    <w:rsid w:val="009972C0"/>
    <w:rsid w:val="009974FB"/>
    <w:rsid w:val="009976A1"/>
    <w:rsid w:val="00997989"/>
    <w:rsid w:val="009A06DB"/>
    <w:rsid w:val="009A1ABB"/>
    <w:rsid w:val="009A320F"/>
    <w:rsid w:val="009A430D"/>
    <w:rsid w:val="009B20F1"/>
    <w:rsid w:val="009C109A"/>
    <w:rsid w:val="009C3BBA"/>
    <w:rsid w:val="009D07F9"/>
    <w:rsid w:val="009D7470"/>
    <w:rsid w:val="009E2C6D"/>
    <w:rsid w:val="009E4ABF"/>
    <w:rsid w:val="009E4B0A"/>
    <w:rsid w:val="009F04CA"/>
    <w:rsid w:val="009F35EA"/>
    <w:rsid w:val="009F3AF0"/>
    <w:rsid w:val="009F57CC"/>
    <w:rsid w:val="00A0060A"/>
    <w:rsid w:val="00A03AF0"/>
    <w:rsid w:val="00A0445D"/>
    <w:rsid w:val="00A06BD3"/>
    <w:rsid w:val="00A11012"/>
    <w:rsid w:val="00A113BA"/>
    <w:rsid w:val="00A30381"/>
    <w:rsid w:val="00A40D1B"/>
    <w:rsid w:val="00A43021"/>
    <w:rsid w:val="00A446DA"/>
    <w:rsid w:val="00A447BB"/>
    <w:rsid w:val="00A45D37"/>
    <w:rsid w:val="00A46104"/>
    <w:rsid w:val="00A54489"/>
    <w:rsid w:val="00A60B35"/>
    <w:rsid w:val="00A633FC"/>
    <w:rsid w:val="00A6375D"/>
    <w:rsid w:val="00A65F64"/>
    <w:rsid w:val="00A67343"/>
    <w:rsid w:val="00A67F84"/>
    <w:rsid w:val="00A716D0"/>
    <w:rsid w:val="00A719E5"/>
    <w:rsid w:val="00A73509"/>
    <w:rsid w:val="00A74990"/>
    <w:rsid w:val="00A75A6C"/>
    <w:rsid w:val="00A77326"/>
    <w:rsid w:val="00A80991"/>
    <w:rsid w:val="00A81A9E"/>
    <w:rsid w:val="00A82EA8"/>
    <w:rsid w:val="00A84BCD"/>
    <w:rsid w:val="00A84E5C"/>
    <w:rsid w:val="00A87E42"/>
    <w:rsid w:val="00A91596"/>
    <w:rsid w:val="00A928C9"/>
    <w:rsid w:val="00A93F77"/>
    <w:rsid w:val="00A96C67"/>
    <w:rsid w:val="00A978CA"/>
    <w:rsid w:val="00AA0B19"/>
    <w:rsid w:val="00AA6AD1"/>
    <w:rsid w:val="00AB0373"/>
    <w:rsid w:val="00AB10EF"/>
    <w:rsid w:val="00AB27F8"/>
    <w:rsid w:val="00AB2CB8"/>
    <w:rsid w:val="00AB6119"/>
    <w:rsid w:val="00AB7738"/>
    <w:rsid w:val="00AB7792"/>
    <w:rsid w:val="00AC0087"/>
    <w:rsid w:val="00AC3FF9"/>
    <w:rsid w:val="00AC4F4F"/>
    <w:rsid w:val="00AC6A35"/>
    <w:rsid w:val="00AD2774"/>
    <w:rsid w:val="00AD57F0"/>
    <w:rsid w:val="00AE0EB9"/>
    <w:rsid w:val="00AE3672"/>
    <w:rsid w:val="00AF27CD"/>
    <w:rsid w:val="00AF2C72"/>
    <w:rsid w:val="00AF59B2"/>
    <w:rsid w:val="00AF75A4"/>
    <w:rsid w:val="00B05112"/>
    <w:rsid w:val="00B05B37"/>
    <w:rsid w:val="00B07AE6"/>
    <w:rsid w:val="00B11025"/>
    <w:rsid w:val="00B12F67"/>
    <w:rsid w:val="00B1391C"/>
    <w:rsid w:val="00B14FAE"/>
    <w:rsid w:val="00B20F70"/>
    <w:rsid w:val="00B23280"/>
    <w:rsid w:val="00B30037"/>
    <w:rsid w:val="00B3104C"/>
    <w:rsid w:val="00B32DCA"/>
    <w:rsid w:val="00B34B52"/>
    <w:rsid w:val="00B376B4"/>
    <w:rsid w:val="00B44516"/>
    <w:rsid w:val="00B62468"/>
    <w:rsid w:val="00B652E5"/>
    <w:rsid w:val="00B65894"/>
    <w:rsid w:val="00B661B3"/>
    <w:rsid w:val="00B674AF"/>
    <w:rsid w:val="00B70CE5"/>
    <w:rsid w:val="00B710B3"/>
    <w:rsid w:val="00B71C64"/>
    <w:rsid w:val="00B725FC"/>
    <w:rsid w:val="00B72AA0"/>
    <w:rsid w:val="00B7384A"/>
    <w:rsid w:val="00B75890"/>
    <w:rsid w:val="00B7735A"/>
    <w:rsid w:val="00B812A7"/>
    <w:rsid w:val="00B82429"/>
    <w:rsid w:val="00B82A39"/>
    <w:rsid w:val="00B863C3"/>
    <w:rsid w:val="00B86450"/>
    <w:rsid w:val="00B91AED"/>
    <w:rsid w:val="00B92931"/>
    <w:rsid w:val="00B93050"/>
    <w:rsid w:val="00B93378"/>
    <w:rsid w:val="00B96B4C"/>
    <w:rsid w:val="00BA084B"/>
    <w:rsid w:val="00BA0EE1"/>
    <w:rsid w:val="00BA61D3"/>
    <w:rsid w:val="00BA68C4"/>
    <w:rsid w:val="00BB094C"/>
    <w:rsid w:val="00BB4B92"/>
    <w:rsid w:val="00BC2910"/>
    <w:rsid w:val="00BC402C"/>
    <w:rsid w:val="00BC5D30"/>
    <w:rsid w:val="00BC72F5"/>
    <w:rsid w:val="00BC7BDD"/>
    <w:rsid w:val="00BD54A2"/>
    <w:rsid w:val="00BE0A15"/>
    <w:rsid w:val="00BE20E3"/>
    <w:rsid w:val="00BE2F8A"/>
    <w:rsid w:val="00BE48C6"/>
    <w:rsid w:val="00BE706A"/>
    <w:rsid w:val="00BE7AAD"/>
    <w:rsid w:val="00BF2019"/>
    <w:rsid w:val="00BF4445"/>
    <w:rsid w:val="00BF6B6A"/>
    <w:rsid w:val="00C00285"/>
    <w:rsid w:val="00C0038A"/>
    <w:rsid w:val="00C01583"/>
    <w:rsid w:val="00C041BA"/>
    <w:rsid w:val="00C0505B"/>
    <w:rsid w:val="00C05487"/>
    <w:rsid w:val="00C104E7"/>
    <w:rsid w:val="00C138FB"/>
    <w:rsid w:val="00C14EB1"/>
    <w:rsid w:val="00C17365"/>
    <w:rsid w:val="00C17F79"/>
    <w:rsid w:val="00C200A2"/>
    <w:rsid w:val="00C2253F"/>
    <w:rsid w:val="00C2426C"/>
    <w:rsid w:val="00C250E6"/>
    <w:rsid w:val="00C2545A"/>
    <w:rsid w:val="00C27750"/>
    <w:rsid w:val="00C32744"/>
    <w:rsid w:val="00C3638C"/>
    <w:rsid w:val="00C41238"/>
    <w:rsid w:val="00C43081"/>
    <w:rsid w:val="00C479B6"/>
    <w:rsid w:val="00C52505"/>
    <w:rsid w:val="00C554CA"/>
    <w:rsid w:val="00C560F6"/>
    <w:rsid w:val="00C5742D"/>
    <w:rsid w:val="00C627E0"/>
    <w:rsid w:val="00C627F8"/>
    <w:rsid w:val="00C63AA4"/>
    <w:rsid w:val="00C63C27"/>
    <w:rsid w:val="00C70512"/>
    <w:rsid w:val="00C730AD"/>
    <w:rsid w:val="00C75515"/>
    <w:rsid w:val="00C75F3C"/>
    <w:rsid w:val="00C7715B"/>
    <w:rsid w:val="00C77F38"/>
    <w:rsid w:val="00C800CC"/>
    <w:rsid w:val="00C82FC0"/>
    <w:rsid w:val="00C835C0"/>
    <w:rsid w:val="00C84900"/>
    <w:rsid w:val="00C85056"/>
    <w:rsid w:val="00C87544"/>
    <w:rsid w:val="00C93C4D"/>
    <w:rsid w:val="00C953D7"/>
    <w:rsid w:val="00C95EA4"/>
    <w:rsid w:val="00CA7064"/>
    <w:rsid w:val="00CA75E2"/>
    <w:rsid w:val="00CB2AE8"/>
    <w:rsid w:val="00CB2AF5"/>
    <w:rsid w:val="00CB4230"/>
    <w:rsid w:val="00CB51DB"/>
    <w:rsid w:val="00CB53E7"/>
    <w:rsid w:val="00CB5C21"/>
    <w:rsid w:val="00CC45FF"/>
    <w:rsid w:val="00CC624C"/>
    <w:rsid w:val="00CC7380"/>
    <w:rsid w:val="00CC7969"/>
    <w:rsid w:val="00CD35EC"/>
    <w:rsid w:val="00CD520E"/>
    <w:rsid w:val="00CD5417"/>
    <w:rsid w:val="00CD55BE"/>
    <w:rsid w:val="00CD7555"/>
    <w:rsid w:val="00CE4E96"/>
    <w:rsid w:val="00CE668F"/>
    <w:rsid w:val="00CE7418"/>
    <w:rsid w:val="00CF009A"/>
    <w:rsid w:val="00CF02B6"/>
    <w:rsid w:val="00CF34B4"/>
    <w:rsid w:val="00CF3F5F"/>
    <w:rsid w:val="00CF4E1D"/>
    <w:rsid w:val="00CF58F5"/>
    <w:rsid w:val="00CF5F8E"/>
    <w:rsid w:val="00CF740F"/>
    <w:rsid w:val="00D03FA3"/>
    <w:rsid w:val="00D05E7A"/>
    <w:rsid w:val="00D105B0"/>
    <w:rsid w:val="00D1661F"/>
    <w:rsid w:val="00D17F92"/>
    <w:rsid w:val="00D2110B"/>
    <w:rsid w:val="00D217F3"/>
    <w:rsid w:val="00D23608"/>
    <w:rsid w:val="00D24AC3"/>
    <w:rsid w:val="00D3043F"/>
    <w:rsid w:val="00D43193"/>
    <w:rsid w:val="00D447E8"/>
    <w:rsid w:val="00D538CD"/>
    <w:rsid w:val="00D603BA"/>
    <w:rsid w:val="00D636DE"/>
    <w:rsid w:val="00D679D3"/>
    <w:rsid w:val="00D70476"/>
    <w:rsid w:val="00D70972"/>
    <w:rsid w:val="00D7349E"/>
    <w:rsid w:val="00D7588A"/>
    <w:rsid w:val="00D76DD9"/>
    <w:rsid w:val="00D8358D"/>
    <w:rsid w:val="00D8406C"/>
    <w:rsid w:val="00D843FE"/>
    <w:rsid w:val="00D870BC"/>
    <w:rsid w:val="00D87ABD"/>
    <w:rsid w:val="00D90021"/>
    <w:rsid w:val="00D9250F"/>
    <w:rsid w:val="00D93239"/>
    <w:rsid w:val="00D94D89"/>
    <w:rsid w:val="00D95C53"/>
    <w:rsid w:val="00DA6F2B"/>
    <w:rsid w:val="00DB438D"/>
    <w:rsid w:val="00DB4B0F"/>
    <w:rsid w:val="00DB651A"/>
    <w:rsid w:val="00DC0C99"/>
    <w:rsid w:val="00DC6D59"/>
    <w:rsid w:val="00DD1947"/>
    <w:rsid w:val="00DD482E"/>
    <w:rsid w:val="00DE6963"/>
    <w:rsid w:val="00DF3B90"/>
    <w:rsid w:val="00E00FFA"/>
    <w:rsid w:val="00E0108D"/>
    <w:rsid w:val="00E01E26"/>
    <w:rsid w:val="00E03C1C"/>
    <w:rsid w:val="00E03E82"/>
    <w:rsid w:val="00E07F02"/>
    <w:rsid w:val="00E20267"/>
    <w:rsid w:val="00E22371"/>
    <w:rsid w:val="00E23F40"/>
    <w:rsid w:val="00E24212"/>
    <w:rsid w:val="00E34A09"/>
    <w:rsid w:val="00E36036"/>
    <w:rsid w:val="00E36900"/>
    <w:rsid w:val="00E37548"/>
    <w:rsid w:val="00E413C1"/>
    <w:rsid w:val="00E45779"/>
    <w:rsid w:val="00E52485"/>
    <w:rsid w:val="00E53B85"/>
    <w:rsid w:val="00E53FC5"/>
    <w:rsid w:val="00E54FE9"/>
    <w:rsid w:val="00E5561A"/>
    <w:rsid w:val="00E574E2"/>
    <w:rsid w:val="00E607C2"/>
    <w:rsid w:val="00E6163F"/>
    <w:rsid w:val="00E6325B"/>
    <w:rsid w:val="00E653E8"/>
    <w:rsid w:val="00E75DF6"/>
    <w:rsid w:val="00E774A8"/>
    <w:rsid w:val="00E9533F"/>
    <w:rsid w:val="00E96FE3"/>
    <w:rsid w:val="00EA3601"/>
    <w:rsid w:val="00EA5369"/>
    <w:rsid w:val="00EA6845"/>
    <w:rsid w:val="00EA6976"/>
    <w:rsid w:val="00EB0573"/>
    <w:rsid w:val="00EB1695"/>
    <w:rsid w:val="00EC106F"/>
    <w:rsid w:val="00ED1DDE"/>
    <w:rsid w:val="00ED259E"/>
    <w:rsid w:val="00ED2CD9"/>
    <w:rsid w:val="00ED4087"/>
    <w:rsid w:val="00EE360F"/>
    <w:rsid w:val="00EE6F8D"/>
    <w:rsid w:val="00EE7B80"/>
    <w:rsid w:val="00EF028C"/>
    <w:rsid w:val="00EF0465"/>
    <w:rsid w:val="00EF13CB"/>
    <w:rsid w:val="00EF1BF4"/>
    <w:rsid w:val="00EF5D8B"/>
    <w:rsid w:val="00EF73F2"/>
    <w:rsid w:val="00F02916"/>
    <w:rsid w:val="00F02FCE"/>
    <w:rsid w:val="00F042A2"/>
    <w:rsid w:val="00F05A09"/>
    <w:rsid w:val="00F06807"/>
    <w:rsid w:val="00F074A8"/>
    <w:rsid w:val="00F107CD"/>
    <w:rsid w:val="00F14A41"/>
    <w:rsid w:val="00F152D2"/>
    <w:rsid w:val="00F3164E"/>
    <w:rsid w:val="00F40BF3"/>
    <w:rsid w:val="00F417D5"/>
    <w:rsid w:val="00F41B51"/>
    <w:rsid w:val="00F435FF"/>
    <w:rsid w:val="00F462FB"/>
    <w:rsid w:val="00F527E6"/>
    <w:rsid w:val="00F52A8B"/>
    <w:rsid w:val="00F52B4C"/>
    <w:rsid w:val="00F52E1E"/>
    <w:rsid w:val="00F535D9"/>
    <w:rsid w:val="00F54AD7"/>
    <w:rsid w:val="00F57A45"/>
    <w:rsid w:val="00F6158E"/>
    <w:rsid w:val="00F75BC8"/>
    <w:rsid w:val="00F764AD"/>
    <w:rsid w:val="00F8352E"/>
    <w:rsid w:val="00F96476"/>
    <w:rsid w:val="00FA4343"/>
    <w:rsid w:val="00FB045A"/>
    <w:rsid w:val="00FB2758"/>
    <w:rsid w:val="00FC1B9B"/>
    <w:rsid w:val="00FC2B01"/>
    <w:rsid w:val="00FD128B"/>
    <w:rsid w:val="00FD16FB"/>
    <w:rsid w:val="00FD4070"/>
    <w:rsid w:val="00FD5468"/>
    <w:rsid w:val="00FD7119"/>
    <w:rsid w:val="00FE1C03"/>
    <w:rsid w:val="00FE2A47"/>
    <w:rsid w:val="00FE2F0F"/>
    <w:rsid w:val="00FE2F33"/>
    <w:rsid w:val="00FE31A9"/>
    <w:rsid w:val="00FE5AF4"/>
    <w:rsid w:val="00FE5D58"/>
    <w:rsid w:val="00FE5E72"/>
    <w:rsid w:val="00FE68BA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2">
    <w:name w:val="Абзац списка2"/>
    <w:basedOn w:val="a"/>
    <w:rsid w:val="004B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Russian">
    <w:name w:val="Normal Russian"/>
    <w:rsid w:val="00876EC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B7589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B75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"/>
    <w:basedOn w:val="a0"/>
    <w:link w:val="a7"/>
    <w:uiPriority w:val="34"/>
    <w:rsid w:val="00EF5D8B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2">
    <w:name w:val="Абзац списка2"/>
    <w:basedOn w:val="a"/>
    <w:rsid w:val="004B1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Russian">
    <w:name w:val="Normal Russian"/>
    <w:rsid w:val="00876EC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B7589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B758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"/>
    <w:basedOn w:val="a0"/>
    <w:link w:val="a7"/>
    <w:uiPriority w:val="34"/>
    <w:rsid w:val="00EF5D8B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D60A-CAE6-4618-BDB9-B8939B5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Пучкова Ирина Геннадьевна</cp:lastModifiedBy>
  <cp:revision>3</cp:revision>
  <cp:lastPrinted>2017-06-16T12:20:00Z</cp:lastPrinted>
  <dcterms:created xsi:type="dcterms:W3CDTF">2017-10-04T09:48:00Z</dcterms:created>
  <dcterms:modified xsi:type="dcterms:W3CDTF">2017-10-04T09:51:00Z</dcterms:modified>
</cp:coreProperties>
</file>